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7659" w:rsidRPr="002B40FC" w:rsidRDefault="00857659" w:rsidP="00D821F2">
      <w:pPr>
        <w:spacing w:after="0" w:line="360" w:lineRule="auto"/>
        <w:jc w:val="center"/>
        <w:rPr>
          <w:rFonts w:ascii="Times New Roman" w:hAnsi="Times New Roman"/>
          <w:b/>
          <w:sz w:val="24"/>
          <w:szCs w:val="24"/>
        </w:rPr>
      </w:pPr>
      <w:r w:rsidRPr="002B40FC">
        <w:rPr>
          <w:rFonts w:ascii="Times New Roman" w:hAnsi="Times New Roman"/>
          <w:b/>
          <w:sz w:val="24"/>
          <w:szCs w:val="24"/>
        </w:rPr>
        <w:t>ESTABELECIMENTO IN VITRO DE PAU-DE-BALSA SOBRE DIFERENTES CONCENTRAÇÕES DE MEIO MS E SACAROSE</w:t>
      </w:r>
    </w:p>
    <w:p w:rsidR="00F12F02" w:rsidRPr="002B40FC" w:rsidRDefault="00F12F02" w:rsidP="00D821F2">
      <w:pPr>
        <w:spacing w:after="0" w:line="360" w:lineRule="auto"/>
        <w:jc w:val="center"/>
        <w:rPr>
          <w:rFonts w:ascii="Times New Roman" w:hAnsi="Times New Roman"/>
          <w:b/>
          <w:sz w:val="24"/>
          <w:szCs w:val="24"/>
        </w:rPr>
      </w:pPr>
    </w:p>
    <w:p w:rsidR="00DD0F2F" w:rsidRDefault="006240EE" w:rsidP="00D821F2">
      <w:pPr>
        <w:pStyle w:val="Rodap"/>
        <w:spacing w:after="0" w:line="360" w:lineRule="auto"/>
        <w:jc w:val="center"/>
        <w:rPr>
          <w:rFonts w:ascii="Times New Roman" w:hAnsi="Times New Roman"/>
          <w:b/>
          <w:sz w:val="24"/>
          <w:szCs w:val="24"/>
          <w:lang w:val="pt-BR"/>
        </w:rPr>
      </w:pPr>
      <w:r w:rsidRPr="002B40FC">
        <w:rPr>
          <w:rFonts w:ascii="Times New Roman" w:hAnsi="Times New Roman"/>
          <w:b/>
          <w:sz w:val="24"/>
          <w:szCs w:val="24"/>
          <w:lang w:val="pt-BR"/>
        </w:rPr>
        <w:t xml:space="preserve">THE </w:t>
      </w:r>
      <w:r w:rsidR="00DD0F2F">
        <w:rPr>
          <w:rFonts w:ascii="Times New Roman" w:hAnsi="Times New Roman"/>
          <w:b/>
          <w:sz w:val="24"/>
          <w:szCs w:val="24"/>
          <w:lang w:val="pt-BR"/>
        </w:rPr>
        <w:t>DEVELOPMENT OF PAU-DE-BALSA IN VITRO UNDER DIFFERENT CONCENTRATIONS OF MS AND SUCROSE</w:t>
      </w:r>
    </w:p>
    <w:p w:rsidR="00DC3105" w:rsidRPr="002B40FC" w:rsidRDefault="00DD0F2F" w:rsidP="00460133">
      <w:pPr>
        <w:pStyle w:val="Rodap"/>
        <w:tabs>
          <w:tab w:val="left" w:pos="4780"/>
        </w:tabs>
        <w:spacing w:after="0" w:line="360" w:lineRule="auto"/>
        <w:jc w:val="both"/>
        <w:rPr>
          <w:rFonts w:ascii="Times New Roman" w:hAnsi="Times New Roman"/>
          <w:sz w:val="24"/>
          <w:szCs w:val="24"/>
        </w:rPr>
      </w:pPr>
      <w:r>
        <w:rPr>
          <w:rFonts w:ascii="Times New Roman" w:hAnsi="Times New Roman"/>
          <w:b/>
          <w:sz w:val="24"/>
          <w:szCs w:val="24"/>
          <w:lang w:val="pt-BR"/>
        </w:rPr>
        <w:t xml:space="preserve"> </w:t>
      </w:r>
      <w:r w:rsidR="002B40FC">
        <w:rPr>
          <w:rFonts w:ascii="Times New Roman" w:hAnsi="Times New Roman"/>
          <w:b/>
          <w:sz w:val="24"/>
          <w:szCs w:val="24"/>
          <w:lang w:val="pt-BR"/>
        </w:rPr>
        <w:tab/>
      </w:r>
      <w:r w:rsidR="00460133">
        <w:rPr>
          <w:rFonts w:ascii="Times New Roman" w:hAnsi="Times New Roman"/>
          <w:b/>
          <w:sz w:val="24"/>
          <w:szCs w:val="24"/>
          <w:lang w:val="pt-BR"/>
        </w:rPr>
        <w:tab/>
      </w:r>
    </w:p>
    <w:p w:rsidR="00FF671D" w:rsidRPr="002B40FC" w:rsidRDefault="0024369A" w:rsidP="00460133">
      <w:pPr>
        <w:spacing w:after="0" w:line="360" w:lineRule="auto"/>
        <w:jc w:val="both"/>
        <w:rPr>
          <w:rFonts w:ascii="Times New Roman" w:eastAsia="Arial" w:hAnsi="Times New Roman"/>
          <w:sz w:val="24"/>
          <w:szCs w:val="24"/>
        </w:rPr>
      </w:pPr>
      <w:r w:rsidRPr="002B40FC">
        <w:rPr>
          <w:rFonts w:ascii="Times New Roman" w:hAnsi="Times New Roman"/>
          <w:b/>
          <w:sz w:val="24"/>
          <w:szCs w:val="24"/>
        </w:rPr>
        <w:t>RESUMO</w:t>
      </w:r>
      <w:r w:rsidR="00857659" w:rsidRPr="002B40FC">
        <w:rPr>
          <w:rFonts w:ascii="Times New Roman" w:hAnsi="Times New Roman"/>
          <w:b/>
          <w:sz w:val="24"/>
          <w:szCs w:val="24"/>
        </w:rPr>
        <w:t xml:space="preserve">: </w:t>
      </w:r>
      <w:r w:rsidR="00F119B0" w:rsidRPr="002B40FC">
        <w:rPr>
          <w:rFonts w:ascii="Times New Roman" w:hAnsi="Times New Roman"/>
          <w:color w:val="000000"/>
          <w:sz w:val="24"/>
          <w:szCs w:val="24"/>
        </w:rPr>
        <w:t>A propagação das sementes de pau-de-balsa é limitada, po</w:t>
      </w:r>
      <w:r w:rsidR="008D2806" w:rsidRPr="002B40FC">
        <w:rPr>
          <w:rFonts w:ascii="Times New Roman" w:hAnsi="Times New Roman"/>
          <w:color w:val="000000"/>
          <w:sz w:val="24"/>
          <w:szCs w:val="24"/>
        </w:rPr>
        <w:t>is,</w:t>
      </w:r>
      <w:r w:rsidR="00F119B0" w:rsidRPr="002B40FC">
        <w:rPr>
          <w:rFonts w:ascii="Times New Roman" w:hAnsi="Times New Roman"/>
          <w:color w:val="000000"/>
          <w:sz w:val="24"/>
          <w:szCs w:val="24"/>
        </w:rPr>
        <w:t xml:space="preserve"> possui dormência tegumentar e baixa taxa de germinação natural. Uma alternativa viável para ess</w:t>
      </w:r>
      <w:r w:rsidR="008D2806" w:rsidRPr="002B40FC">
        <w:rPr>
          <w:rFonts w:ascii="Times New Roman" w:hAnsi="Times New Roman"/>
          <w:color w:val="000000"/>
          <w:sz w:val="24"/>
          <w:szCs w:val="24"/>
        </w:rPr>
        <w:t>a</w:t>
      </w:r>
      <w:r w:rsidR="00EA338A" w:rsidRPr="002B40FC">
        <w:rPr>
          <w:rFonts w:ascii="Times New Roman" w:hAnsi="Times New Roman"/>
          <w:color w:val="000000"/>
          <w:sz w:val="24"/>
          <w:szCs w:val="24"/>
        </w:rPr>
        <w:t>s</w:t>
      </w:r>
      <w:r w:rsidR="00F119B0" w:rsidRPr="002B40FC">
        <w:rPr>
          <w:rFonts w:ascii="Times New Roman" w:hAnsi="Times New Roman"/>
          <w:color w:val="000000"/>
          <w:sz w:val="24"/>
          <w:szCs w:val="24"/>
        </w:rPr>
        <w:t xml:space="preserve"> </w:t>
      </w:r>
      <w:r w:rsidR="008D2806" w:rsidRPr="002B40FC">
        <w:rPr>
          <w:rFonts w:ascii="Times New Roman" w:hAnsi="Times New Roman"/>
          <w:color w:val="000000"/>
          <w:sz w:val="24"/>
          <w:szCs w:val="24"/>
        </w:rPr>
        <w:t>limitações</w:t>
      </w:r>
      <w:r w:rsidR="00F119B0" w:rsidRPr="002B40FC">
        <w:rPr>
          <w:rFonts w:ascii="Times New Roman" w:hAnsi="Times New Roman"/>
          <w:color w:val="000000"/>
          <w:sz w:val="24"/>
          <w:szCs w:val="24"/>
        </w:rPr>
        <w:t xml:space="preserve">, é a micropropagação. Essa técnica visa a produção de mudas em larga escala, com qualidade superior, em curto período e espaço reduzido. </w:t>
      </w:r>
      <w:r w:rsidR="00CB2D28" w:rsidRPr="002B40FC">
        <w:rPr>
          <w:rFonts w:ascii="Times New Roman" w:hAnsi="Times New Roman"/>
          <w:color w:val="000000"/>
          <w:sz w:val="24"/>
          <w:szCs w:val="24"/>
        </w:rPr>
        <w:t>Dessa forma</w:t>
      </w:r>
      <w:r w:rsidR="00F119B0" w:rsidRPr="002B40FC">
        <w:rPr>
          <w:rFonts w:ascii="Times New Roman" w:hAnsi="Times New Roman"/>
          <w:color w:val="000000"/>
          <w:sz w:val="24"/>
          <w:szCs w:val="24"/>
        </w:rPr>
        <w:t xml:space="preserve">, o trabalho teve como objetivo avaliar o efeito das diferentes concentrações de meio MS e sacarose, no estabelecimento </w:t>
      </w:r>
      <w:r w:rsidR="00F119B0" w:rsidRPr="002B40FC">
        <w:rPr>
          <w:rFonts w:ascii="Times New Roman" w:hAnsi="Times New Roman"/>
          <w:i/>
          <w:iCs/>
          <w:color w:val="000000"/>
          <w:sz w:val="24"/>
          <w:szCs w:val="24"/>
        </w:rPr>
        <w:t xml:space="preserve">in vitro </w:t>
      </w:r>
      <w:r w:rsidR="00F119B0" w:rsidRPr="002B40FC">
        <w:rPr>
          <w:rFonts w:ascii="Times New Roman" w:hAnsi="Times New Roman"/>
          <w:color w:val="000000"/>
          <w:sz w:val="24"/>
          <w:szCs w:val="24"/>
        </w:rPr>
        <w:t>de sementes pau-de-balsa. O experimento foi conduzido em delineamento inteiramente casualizado, em esquema fatorial 2x4, duas concentrações de meio MS (50 e 100%) e quatro de sacarose (0, 15, 20 e 25 g.L</w:t>
      </w:r>
      <w:r w:rsidR="00F119B0" w:rsidRPr="002B40FC">
        <w:rPr>
          <w:rFonts w:ascii="Times New Roman" w:hAnsi="Times New Roman"/>
          <w:color w:val="000000"/>
          <w:sz w:val="24"/>
          <w:szCs w:val="24"/>
          <w:vertAlign w:val="superscript"/>
        </w:rPr>
        <w:t>-1</w:t>
      </w:r>
      <w:r w:rsidR="00F119B0" w:rsidRPr="002B40FC">
        <w:rPr>
          <w:rFonts w:ascii="Times New Roman" w:hAnsi="Times New Roman"/>
          <w:color w:val="000000"/>
          <w:sz w:val="24"/>
          <w:szCs w:val="24"/>
        </w:rPr>
        <w:t xml:space="preserve">), totalizando 8 tratamentos com 15 repetições e em cada repetição 3 indivíduos, totalizando assim, 360 indivíduos. Observou-se a influência da concentração do meio MS e sacarose no estabelecimento </w:t>
      </w:r>
      <w:r w:rsidR="00F119B0" w:rsidRPr="002B40FC">
        <w:rPr>
          <w:rFonts w:ascii="Times New Roman" w:hAnsi="Times New Roman"/>
          <w:i/>
          <w:iCs/>
          <w:color w:val="000000"/>
          <w:sz w:val="24"/>
          <w:szCs w:val="24"/>
        </w:rPr>
        <w:t xml:space="preserve">in vitro </w:t>
      </w:r>
      <w:r w:rsidR="00F119B0" w:rsidRPr="002B40FC">
        <w:rPr>
          <w:rFonts w:ascii="Times New Roman" w:hAnsi="Times New Roman"/>
          <w:color w:val="000000"/>
          <w:sz w:val="24"/>
          <w:szCs w:val="24"/>
        </w:rPr>
        <w:t>da espécie em estudo</w:t>
      </w:r>
      <w:r w:rsidR="00EA338A" w:rsidRPr="002B40FC">
        <w:rPr>
          <w:rFonts w:ascii="Times New Roman" w:hAnsi="Times New Roman"/>
          <w:iCs/>
          <w:color w:val="000000"/>
          <w:sz w:val="24"/>
          <w:szCs w:val="24"/>
        </w:rPr>
        <w:t>, onde</w:t>
      </w:r>
      <w:r w:rsidR="00F119B0" w:rsidRPr="002B40FC">
        <w:rPr>
          <w:rFonts w:ascii="Times New Roman" w:hAnsi="Times New Roman"/>
          <w:i/>
          <w:iCs/>
          <w:color w:val="000000"/>
          <w:sz w:val="24"/>
          <w:szCs w:val="24"/>
        </w:rPr>
        <w:t xml:space="preserve"> </w:t>
      </w:r>
      <w:r w:rsidR="00F119B0" w:rsidRPr="002B40FC">
        <w:rPr>
          <w:rFonts w:ascii="Times New Roman" w:hAnsi="Times New Roman"/>
          <w:color w:val="000000"/>
          <w:sz w:val="24"/>
          <w:szCs w:val="24"/>
        </w:rPr>
        <w:t>não apresenta</w:t>
      </w:r>
      <w:r w:rsidR="00CB2D28" w:rsidRPr="002B40FC">
        <w:rPr>
          <w:rFonts w:ascii="Times New Roman" w:hAnsi="Times New Roman"/>
          <w:color w:val="000000"/>
          <w:sz w:val="24"/>
          <w:szCs w:val="24"/>
        </w:rPr>
        <w:t>ra</w:t>
      </w:r>
      <w:r w:rsidR="00F119B0" w:rsidRPr="002B40FC">
        <w:rPr>
          <w:rFonts w:ascii="Times New Roman" w:hAnsi="Times New Roman"/>
          <w:color w:val="000000"/>
          <w:sz w:val="24"/>
          <w:szCs w:val="24"/>
        </w:rPr>
        <w:t xml:space="preserve">m comportamento exigente, </w:t>
      </w:r>
      <w:r w:rsidR="008D2806" w:rsidRPr="002B40FC">
        <w:rPr>
          <w:rFonts w:ascii="Times New Roman" w:hAnsi="Times New Roman"/>
          <w:color w:val="000000"/>
          <w:sz w:val="24"/>
          <w:szCs w:val="24"/>
        </w:rPr>
        <w:t>uma vez que, a germinação,</w:t>
      </w:r>
      <w:r w:rsidR="00F119B0" w:rsidRPr="002B40FC">
        <w:rPr>
          <w:rFonts w:ascii="Times New Roman" w:hAnsi="Times New Roman"/>
          <w:color w:val="000000"/>
          <w:sz w:val="24"/>
          <w:szCs w:val="24"/>
        </w:rPr>
        <w:t xml:space="preserve"> par de folhas, comprimento radicular</w:t>
      </w:r>
      <w:r w:rsidR="00EA338A" w:rsidRPr="002B40FC">
        <w:rPr>
          <w:rFonts w:ascii="Times New Roman" w:hAnsi="Times New Roman"/>
          <w:color w:val="000000"/>
          <w:sz w:val="24"/>
          <w:szCs w:val="24"/>
        </w:rPr>
        <w:t xml:space="preserve"> e da</w:t>
      </w:r>
      <w:r w:rsidR="00F119B0" w:rsidRPr="002B40FC">
        <w:rPr>
          <w:rFonts w:ascii="Times New Roman" w:hAnsi="Times New Roman"/>
          <w:color w:val="000000"/>
          <w:sz w:val="24"/>
          <w:szCs w:val="24"/>
        </w:rPr>
        <w:t xml:space="preserve"> parte aérea, massa seca e fresca, além dos menores valores de calogênese, plantas senescentes, e contaminação, </w:t>
      </w:r>
      <w:r w:rsidR="00EA338A" w:rsidRPr="002B40FC">
        <w:rPr>
          <w:rFonts w:ascii="Times New Roman" w:hAnsi="Times New Roman"/>
          <w:color w:val="000000"/>
          <w:sz w:val="24"/>
          <w:szCs w:val="24"/>
        </w:rPr>
        <w:t xml:space="preserve">foram </w:t>
      </w:r>
      <w:r w:rsidR="00F119B0" w:rsidRPr="002B40FC">
        <w:rPr>
          <w:rFonts w:ascii="Times New Roman" w:hAnsi="Times New Roman"/>
          <w:color w:val="000000"/>
          <w:sz w:val="24"/>
          <w:szCs w:val="24"/>
        </w:rPr>
        <w:t>obtidos, quando submetida</w:t>
      </w:r>
      <w:r w:rsidR="00EA338A" w:rsidRPr="002B40FC">
        <w:rPr>
          <w:rFonts w:ascii="Times New Roman" w:hAnsi="Times New Roman"/>
          <w:color w:val="000000"/>
          <w:sz w:val="24"/>
          <w:szCs w:val="24"/>
        </w:rPr>
        <w:t>s</w:t>
      </w:r>
      <w:r w:rsidR="00F119B0" w:rsidRPr="002B40FC">
        <w:rPr>
          <w:rFonts w:ascii="Times New Roman" w:hAnsi="Times New Roman"/>
          <w:color w:val="000000"/>
          <w:sz w:val="24"/>
          <w:szCs w:val="24"/>
        </w:rPr>
        <w:t xml:space="preserve"> a baixa disponibilidade de sais minerais e sacarose. </w:t>
      </w:r>
      <w:r w:rsidR="008D2806" w:rsidRPr="002B40FC">
        <w:rPr>
          <w:rFonts w:ascii="Times New Roman" w:hAnsi="Times New Roman"/>
          <w:color w:val="000000"/>
          <w:sz w:val="24"/>
          <w:szCs w:val="24"/>
        </w:rPr>
        <w:t>Os melhores tratamentos</w:t>
      </w:r>
      <w:r w:rsidR="00F119B0" w:rsidRPr="002B40FC">
        <w:rPr>
          <w:rFonts w:ascii="Times New Roman" w:hAnsi="Times New Roman"/>
          <w:color w:val="000000"/>
          <w:sz w:val="24"/>
          <w:szCs w:val="24"/>
        </w:rPr>
        <w:t>, foram os que continham 50% do meio MS e as menores doses de sacarose</w:t>
      </w:r>
      <w:r w:rsidR="00857659" w:rsidRPr="002B40FC">
        <w:rPr>
          <w:rFonts w:ascii="Times New Roman" w:eastAsia="Arial" w:hAnsi="Times New Roman"/>
          <w:sz w:val="24"/>
          <w:szCs w:val="24"/>
        </w:rPr>
        <w:t>.</w:t>
      </w:r>
    </w:p>
    <w:p w:rsidR="00FF671D" w:rsidRPr="002B40FC" w:rsidRDefault="00FF671D" w:rsidP="00460133">
      <w:pPr>
        <w:spacing w:after="0" w:line="360" w:lineRule="auto"/>
        <w:jc w:val="both"/>
        <w:rPr>
          <w:rFonts w:ascii="Times New Roman" w:eastAsia="Arial" w:hAnsi="Times New Roman"/>
          <w:sz w:val="24"/>
          <w:szCs w:val="24"/>
        </w:rPr>
      </w:pPr>
    </w:p>
    <w:p w:rsidR="00F119B0" w:rsidRPr="002B40FC" w:rsidRDefault="0024369A" w:rsidP="00460133">
      <w:pPr>
        <w:spacing w:after="0" w:line="360" w:lineRule="auto"/>
        <w:jc w:val="both"/>
        <w:rPr>
          <w:rFonts w:ascii="Times New Roman" w:hAnsi="Times New Roman"/>
          <w:sz w:val="24"/>
          <w:szCs w:val="24"/>
          <w:lang w:val="en-US"/>
        </w:rPr>
      </w:pPr>
      <w:r w:rsidRPr="002B40FC">
        <w:rPr>
          <w:rFonts w:ascii="Times New Roman" w:hAnsi="Times New Roman"/>
          <w:b/>
          <w:sz w:val="24"/>
          <w:szCs w:val="24"/>
        </w:rPr>
        <w:t>PALAVRAS-CHAVE</w:t>
      </w:r>
      <w:r w:rsidR="00857659" w:rsidRPr="002B40FC">
        <w:rPr>
          <w:rFonts w:ascii="Times New Roman" w:hAnsi="Times New Roman"/>
          <w:b/>
          <w:sz w:val="24"/>
          <w:szCs w:val="24"/>
        </w:rPr>
        <w:t xml:space="preserve">: </w:t>
      </w:r>
      <w:r w:rsidR="00857659" w:rsidRPr="002B40FC">
        <w:rPr>
          <w:rFonts w:ascii="Times New Roman" w:hAnsi="Times New Roman"/>
          <w:i/>
          <w:sz w:val="24"/>
          <w:szCs w:val="24"/>
          <w:lang w:val="en-US"/>
        </w:rPr>
        <w:t>Ochroma pyramidale</w:t>
      </w:r>
      <w:r w:rsidR="00857659" w:rsidRPr="002B40FC">
        <w:rPr>
          <w:rFonts w:ascii="Times New Roman" w:hAnsi="Times New Roman"/>
          <w:sz w:val="24"/>
          <w:szCs w:val="24"/>
          <w:lang w:val="en-US"/>
        </w:rPr>
        <w:t>.</w:t>
      </w:r>
      <w:r w:rsidR="00857659" w:rsidRPr="002B40FC">
        <w:rPr>
          <w:rFonts w:ascii="Times New Roman" w:hAnsi="Times New Roman"/>
          <w:i/>
          <w:sz w:val="24"/>
          <w:szCs w:val="24"/>
          <w:lang w:val="en-US"/>
        </w:rPr>
        <w:t xml:space="preserve"> </w:t>
      </w:r>
      <w:r w:rsidR="00857659" w:rsidRPr="002B40FC">
        <w:rPr>
          <w:rFonts w:ascii="Times New Roman" w:hAnsi="Times New Roman"/>
          <w:sz w:val="24"/>
          <w:szCs w:val="24"/>
          <w:lang w:val="en-US"/>
        </w:rPr>
        <w:t xml:space="preserve">Micropropagação. </w:t>
      </w:r>
      <w:r w:rsidR="0038555F" w:rsidRPr="002B40FC">
        <w:rPr>
          <w:rFonts w:ascii="Times New Roman" w:hAnsi="Times New Roman"/>
          <w:sz w:val="24"/>
          <w:szCs w:val="24"/>
          <w:lang w:val="en-US"/>
        </w:rPr>
        <w:t>Desenvolvimento.</w:t>
      </w:r>
    </w:p>
    <w:p w:rsidR="00857659" w:rsidRPr="002B40FC" w:rsidRDefault="00857659" w:rsidP="00460133">
      <w:pPr>
        <w:spacing w:after="0" w:line="360" w:lineRule="auto"/>
        <w:jc w:val="both"/>
        <w:rPr>
          <w:rFonts w:ascii="Times New Roman" w:hAnsi="Times New Roman"/>
          <w:b/>
          <w:sz w:val="24"/>
          <w:szCs w:val="24"/>
        </w:rPr>
      </w:pPr>
    </w:p>
    <w:p w:rsidR="0038555F" w:rsidRPr="002B40FC" w:rsidRDefault="0024369A" w:rsidP="00460133">
      <w:pPr>
        <w:spacing w:after="0" w:line="360" w:lineRule="auto"/>
        <w:jc w:val="both"/>
        <w:rPr>
          <w:rFonts w:ascii="Times New Roman" w:hAnsi="Times New Roman"/>
          <w:color w:val="212121"/>
          <w:sz w:val="24"/>
          <w:szCs w:val="24"/>
          <w:shd w:val="clear" w:color="auto" w:fill="FFFFFF"/>
          <w:lang w:val="en-US"/>
        </w:rPr>
      </w:pPr>
      <w:r w:rsidRPr="002B40FC">
        <w:rPr>
          <w:rFonts w:ascii="Times New Roman" w:hAnsi="Times New Roman"/>
          <w:b/>
          <w:sz w:val="24"/>
          <w:szCs w:val="24"/>
          <w:lang w:val="en-US"/>
        </w:rPr>
        <w:t>ABSTRACT</w:t>
      </w:r>
      <w:r w:rsidR="00857659" w:rsidRPr="002B40FC">
        <w:rPr>
          <w:rFonts w:ascii="Times New Roman" w:hAnsi="Times New Roman"/>
          <w:b/>
          <w:sz w:val="24"/>
          <w:szCs w:val="24"/>
          <w:lang w:val="en-US"/>
        </w:rPr>
        <w:t xml:space="preserve">: </w:t>
      </w:r>
      <w:r w:rsidR="0038555F" w:rsidRPr="002B40FC">
        <w:rPr>
          <w:rFonts w:ascii="Times New Roman" w:hAnsi="Times New Roman"/>
          <w:sz w:val="24"/>
          <w:szCs w:val="24"/>
          <w:shd w:val="clear" w:color="auto" w:fill="FFFFFF"/>
          <w:lang w:val="en-US"/>
        </w:rPr>
        <w:t>The way of spreading pau-de-balsa seeds is limited</w:t>
      </w:r>
      <w:r w:rsidR="00FF671D" w:rsidRPr="002B40FC">
        <w:rPr>
          <w:rFonts w:ascii="Times New Roman" w:hAnsi="Times New Roman"/>
          <w:sz w:val="24"/>
          <w:szCs w:val="24"/>
          <w:shd w:val="clear" w:color="auto" w:fill="FFFFFF"/>
          <w:lang w:val="en-US"/>
        </w:rPr>
        <w:t>,</w:t>
      </w:r>
      <w:r w:rsidR="0038555F" w:rsidRPr="002B40FC">
        <w:rPr>
          <w:rFonts w:ascii="Times New Roman" w:hAnsi="Times New Roman"/>
          <w:sz w:val="24"/>
          <w:szCs w:val="24"/>
          <w:shd w:val="clear" w:color="auto" w:fill="FFFFFF"/>
          <w:lang w:val="en-US"/>
        </w:rPr>
        <w:t xml:space="preserve"> because there is a tegumental inactivity and low natural germination rate. A viable alternative </w:t>
      </w:r>
      <w:r w:rsidR="00806C84" w:rsidRPr="002B40FC">
        <w:rPr>
          <w:rFonts w:ascii="Times New Roman" w:hAnsi="Times New Roman"/>
          <w:sz w:val="24"/>
          <w:szCs w:val="24"/>
          <w:shd w:val="clear" w:color="auto" w:fill="FFFFFF"/>
          <w:lang w:val="en-US"/>
        </w:rPr>
        <w:t>for this</w:t>
      </w:r>
      <w:r w:rsidR="0038555F" w:rsidRPr="002B40FC">
        <w:rPr>
          <w:rFonts w:ascii="Times New Roman" w:hAnsi="Times New Roman"/>
          <w:sz w:val="24"/>
          <w:szCs w:val="24"/>
          <w:shd w:val="clear" w:color="auto" w:fill="FFFFFF"/>
          <w:lang w:val="en-US"/>
        </w:rPr>
        <w:t xml:space="preserve"> </w:t>
      </w:r>
      <w:r w:rsidR="00806C84" w:rsidRPr="002B40FC">
        <w:rPr>
          <w:rFonts w:ascii="Times New Roman" w:hAnsi="Times New Roman"/>
          <w:sz w:val="24"/>
          <w:szCs w:val="24"/>
          <w:shd w:val="clear" w:color="auto" w:fill="FFFFFF"/>
          <w:lang w:val="en-US"/>
        </w:rPr>
        <w:t>limitation,</w:t>
      </w:r>
      <w:r w:rsidR="0038555F" w:rsidRPr="002B40FC">
        <w:rPr>
          <w:rFonts w:ascii="Times New Roman" w:hAnsi="Times New Roman"/>
          <w:sz w:val="24"/>
          <w:szCs w:val="24"/>
          <w:shd w:val="clear" w:color="auto" w:fill="FFFFFF"/>
          <w:lang w:val="en-US"/>
        </w:rPr>
        <w:t xml:space="preserve"> is the micropropagation. The goal of this technique is the production of large-scale plants with higher quality in short time and limited space. Therefore, the study aimed to evaluate the effect of different concentrations of MS and sucrose, in a vitro culture of pau-de-balsa seeds. The experiment was conducted, randomly, in a 2x4 factorial design, two concentrations of MS (50 to 100%) and four of sucrose (0, 15, 20 and 25 g L-1), in a total of 8 treatments with 15 repetitions and each repetition 3 individuals, totalizing 360 individuals. </w:t>
      </w:r>
      <w:r w:rsidR="00806C84" w:rsidRPr="002B40FC">
        <w:rPr>
          <w:rFonts w:ascii="Times New Roman" w:hAnsi="Times New Roman"/>
          <w:sz w:val="24"/>
          <w:szCs w:val="24"/>
          <w:shd w:val="clear" w:color="auto" w:fill="FFFFFF"/>
          <w:lang w:val="en-US"/>
        </w:rPr>
        <w:t>I</w:t>
      </w:r>
      <w:r w:rsidR="00C34B8D" w:rsidRPr="002B40FC">
        <w:rPr>
          <w:rFonts w:ascii="Times New Roman" w:hAnsi="Times New Roman"/>
          <w:sz w:val="24"/>
          <w:szCs w:val="24"/>
          <w:shd w:val="clear" w:color="auto" w:fill="FFFFFF"/>
          <w:lang w:val="en-US"/>
        </w:rPr>
        <w:t>t was</w:t>
      </w:r>
      <w:r w:rsidR="0038555F" w:rsidRPr="002B40FC">
        <w:rPr>
          <w:rFonts w:ascii="Times New Roman" w:hAnsi="Times New Roman"/>
          <w:sz w:val="24"/>
          <w:szCs w:val="24"/>
          <w:shd w:val="clear" w:color="auto" w:fill="FFFFFF"/>
          <w:lang w:val="en-US"/>
        </w:rPr>
        <w:t xml:space="preserve"> observe</w:t>
      </w:r>
      <w:r w:rsidR="00C34B8D" w:rsidRPr="002B40FC">
        <w:rPr>
          <w:rFonts w:ascii="Times New Roman" w:hAnsi="Times New Roman"/>
          <w:sz w:val="24"/>
          <w:szCs w:val="24"/>
          <w:shd w:val="clear" w:color="auto" w:fill="FFFFFF"/>
          <w:lang w:val="en-US"/>
        </w:rPr>
        <w:t>d</w:t>
      </w:r>
      <w:r w:rsidR="0038555F" w:rsidRPr="002B40FC">
        <w:rPr>
          <w:rFonts w:ascii="Times New Roman" w:hAnsi="Times New Roman"/>
          <w:sz w:val="24"/>
          <w:szCs w:val="24"/>
          <w:shd w:val="clear" w:color="auto" w:fill="FFFFFF"/>
          <w:lang w:val="en-US"/>
        </w:rPr>
        <w:t xml:space="preserve"> the influence of the concentration of MS</w:t>
      </w:r>
      <w:r w:rsidR="0038555F" w:rsidRPr="002B40FC">
        <w:rPr>
          <w:rFonts w:ascii="Times New Roman" w:hAnsi="Times New Roman"/>
          <w:b/>
          <w:sz w:val="24"/>
          <w:szCs w:val="24"/>
          <w:shd w:val="clear" w:color="auto" w:fill="FFFFFF"/>
          <w:lang w:val="en-US"/>
        </w:rPr>
        <w:t xml:space="preserve"> </w:t>
      </w:r>
      <w:r w:rsidR="0038555F" w:rsidRPr="002B40FC">
        <w:rPr>
          <w:rFonts w:ascii="Times New Roman" w:hAnsi="Times New Roman"/>
          <w:sz w:val="24"/>
          <w:szCs w:val="24"/>
          <w:shd w:val="clear" w:color="auto" w:fill="FFFFFF"/>
          <w:lang w:val="en-US"/>
        </w:rPr>
        <w:t>and</w:t>
      </w:r>
      <w:r w:rsidR="0038555F" w:rsidRPr="002B40FC">
        <w:rPr>
          <w:rFonts w:ascii="Times New Roman" w:hAnsi="Times New Roman"/>
          <w:b/>
          <w:sz w:val="24"/>
          <w:szCs w:val="24"/>
          <w:shd w:val="clear" w:color="auto" w:fill="FFFFFF"/>
          <w:lang w:val="en-US"/>
        </w:rPr>
        <w:t xml:space="preserve"> </w:t>
      </w:r>
      <w:r w:rsidR="0038555F" w:rsidRPr="002B40FC">
        <w:rPr>
          <w:rFonts w:ascii="Times New Roman" w:hAnsi="Times New Roman"/>
          <w:sz w:val="24"/>
          <w:szCs w:val="24"/>
          <w:shd w:val="clear" w:color="auto" w:fill="FFFFFF"/>
          <w:lang w:val="en-US"/>
        </w:rPr>
        <w:t xml:space="preserve">sucrose in the vitro culture of pau-de-balsa seeds. </w:t>
      </w:r>
      <w:r w:rsidR="00FF671D" w:rsidRPr="002B40FC">
        <w:rPr>
          <w:rFonts w:ascii="Times New Roman" w:hAnsi="Times New Roman"/>
          <w:sz w:val="24"/>
          <w:szCs w:val="24"/>
          <w:shd w:val="clear" w:color="auto" w:fill="FFFFFF"/>
          <w:lang w:val="en-US"/>
        </w:rPr>
        <w:t>And they</w:t>
      </w:r>
      <w:r w:rsidR="0038555F" w:rsidRPr="002B40FC">
        <w:rPr>
          <w:rFonts w:ascii="Times New Roman" w:hAnsi="Times New Roman"/>
          <w:sz w:val="24"/>
          <w:szCs w:val="24"/>
          <w:shd w:val="clear" w:color="auto" w:fill="FFFFFF"/>
          <w:lang w:val="en-US"/>
        </w:rPr>
        <w:t xml:space="preserve"> do not require a specific behavior in vitro germination, it is necessary two leaves, root </w:t>
      </w:r>
      <w:r w:rsidR="0038555F" w:rsidRPr="002B40FC">
        <w:rPr>
          <w:rFonts w:ascii="Times New Roman" w:hAnsi="Times New Roman"/>
          <w:sz w:val="24"/>
          <w:szCs w:val="24"/>
          <w:shd w:val="clear" w:color="auto" w:fill="FFFFFF"/>
          <w:lang w:val="en-US"/>
        </w:rPr>
        <w:lastRenderedPageBreak/>
        <w:t>length, shoot length, dry and natural weight, in addition to small amount of callogenesis, senescent plan</w:t>
      </w:r>
      <w:r w:rsidR="00806C84" w:rsidRPr="002B40FC">
        <w:rPr>
          <w:rFonts w:ascii="Times New Roman" w:hAnsi="Times New Roman"/>
          <w:sz w:val="24"/>
          <w:szCs w:val="24"/>
          <w:shd w:val="clear" w:color="auto" w:fill="FFFFFF"/>
          <w:lang w:val="en-US"/>
        </w:rPr>
        <w:t xml:space="preserve">ts, and contamination. They are </w:t>
      </w:r>
      <w:r w:rsidR="0038555F" w:rsidRPr="002B40FC">
        <w:rPr>
          <w:rFonts w:ascii="Times New Roman" w:hAnsi="Times New Roman"/>
          <w:sz w:val="24"/>
          <w:szCs w:val="24"/>
          <w:shd w:val="clear" w:color="auto" w:fill="FFFFFF"/>
          <w:lang w:val="en-US"/>
        </w:rPr>
        <w:t>obtained when the species was subjected to low availability of sucrose and mineral salts. The best treatment for most variables were those containing 50% MS, and lower sucrose levels.</w:t>
      </w:r>
    </w:p>
    <w:p w:rsidR="00857659" w:rsidRPr="002B40FC" w:rsidRDefault="00857659" w:rsidP="00460133">
      <w:pPr>
        <w:spacing w:after="0" w:line="360" w:lineRule="auto"/>
        <w:jc w:val="both"/>
        <w:rPr>
          <w:rFonts w:ascii="Times New Roman" w:hAnsi="Times New Roman"/>
          <w:b/>
          <w:sz w:val="24"/>
          <w:szCs w:val="24"/>
          <w:lang w:val="en-US"/>
        </w:rPr>
      </w:pPr>
    </w:p>
    <w:p w:rsidR="00553746" w:rsidRDefault="0024369A" w:rsidP="00460133">
      <w:pPr>
        <w:spacing w:line="360" w:lineRule="auto"/>
        <w:jc w:val="both"/>
        <w:rPr>
          <w:rFonts w:ascii="Times New Roman" w:hAnsi="Times New Roman"/>
          <w:sz w:val="24"/>
          <w:szCs w:val="24"/>
          <w:shd w:val="clear" w:color="auto" w:fill="FFFFFF"/>
          <w:lang w:val="en-US"/>
        </w:rPr>
      </w:pPr>
      <w:r w:rsidRPr="002B40FC">
        <w:rPr>
          <w:rFonts w:ascii="Times New Roman" w:hAnsi="Times New Roman"/>
          <w:b/>
          <w:sz w:val="24"/>
          <w:szCs w:val="24"/>
          <w:lang w:val="en-US"/>
        </w:rPr>
        <w:t>KEY WORDS</w:t>
      </w:r>
      <w:r w:rsidR="00857659" w:rsidRPr="002B40FC">
        <w:rPr>
          <w:rFonts w:ascii="Times New Roman" w:hAnsi="Times New Roman"/>
          <w:b/>
          <w:sz w:val="24"/>
          <w:szCs w:val="24"/>
          <w:lang w:val="en-US"/>
        </w:rPr>
        <w:t xml:space="preserve">: </w:t>
      </w:r>
      <w:r w:rsidR="00857659" w:rsidRPr="002B40FC">
        <w:rPr>
          <w:rFonts w:ascii="Times New Roman" w:hAnsi="Times New Roman"/>
          <w:i/>
          <w:sz w:val="24"/>
          <w:szCs w:val="24"/>
          <w:shd w:val="clear" w:color="auto" w:fill="FFFFFF"/>
          <w:lang w:val="en-US"/>
        </w:rPr>
        <w:t>Ochroma pyramidale</w:t>
      </w:r>
      <w:r w:rsidR="00857659" w:rsidRPr="002B40FC">
        <w:rPr>
          <w:rFonts w:ascii="Times New Roman" w:hAnsi="Times New Roman"/>
          <w:sz w:val="24"/>
          <w:szCs w:val="24"/>
          <w:shd w:val="clear" w:color="auto" w:fill="FFFFFF"/>
          <w:lang w:val="en-US"/>
        </w:rPr>
        <w:t>.</w:t>
      </w:r>
      <w:r w:rsidR="0038555F" w:rsidRPr="002B40FC">
        <w:rPr>
          <w:rFonts w:ascii="Times New Roman" w:hAnsi="Times New Roman"/>
          <w:sz w:val="24"/>
          <w:szCs w:val="24"/>
          <w:shd w:val="clear" w:color="auto" w:fill="FFFFFF"/>
          <w:lang w:val="en-US"/>
        </w:rPr>
        <w:t xml:space="preserve"> Micropropagation. Development.</w:t>
      </w:r>
    </w:p>
    <w:p w:rsidR="00553746" w:rsidRDefault="00553746" w:rsidP="00460133">
      <w:pPr>
        <w:spacing w:after="0" w:line="360" w:lineRule="auto"/>
        <w:jc w:val="both"/>
        <w:rPr>
          <w:rFonts w:ascii="Times New Roman" w:hAnsi="Times New Roman"/>
          <w:sz w:val="24"/>
          <w:szCs w:val="24"/>
          <w:shd w:val="clear" w:color="auto" w:fill="FFFFFF"/>
          <w:lang w:val="en-US"/>
        </w:rPr>
      </w:pPr>
    </w:p>
    <w:p w:rsidR="00553746" w:rsidRDefault="0024369A" w:rsidP="00460133">
      <w:pPr>
        <w:spacing w:after="0" w:line="360" w:lineRule="auto"/>
        <w:jc w:val="both"/>
        <w:rPr>
          <w:rFonts w:ascii="Times New Roman" w:hAnsi="Times New Roman"/>
          <w:sz w:val="24"/>
          <w:szCs w:val="24"/>
          <w:shd w:val="clear" w:color="auto" w:fill="FFFFFF"/>
          <w:lang w:val="en-US"/>
        </w:rPr>
      </w:pPr>
      <w:r w:rsidRPr="002B40FC">
        <w:rPr>
          <w:rFonts w:ascii="Times New Roman" w:hAnsi="Times New Roman"/>
          <w:b/>
          <w:sz w:val="24"/>
          <w:szCs w:val="24"/>
        </w:rPr>
        <w:t>INTRODUÇÃO</w:t>
      </w:r>
    </w:p>
    <w:p w:rsidR="00857659" w:rsidRPr="00553746" w:rsidRDefault="00857659" w:rsidP="00460133">
      <w:pPr>
        <w:spacing w:after="0" w:line="360" w:lineRule="auto"/>
        <w:ind w:firstLine="567"/>
        <w:jc w:val="both"/>
        <w:rPr>
          <w:rFonts w:ascii="Times New Roman" w:hAnsi="Times New Roman"/>
          <w:sz w:val="24"/>
          <w:szCs w:val="24"/>
          <w:shd w:val="clear" w:color="auto" w:fill="FFFFFF"/>
          <w:lang w:val="en-US"/>
        </w:rPr>
      </w:pPr>
      <w:r w:rsidRPr="002B40FC">
        <w:rPr>
          <w:rFonts w:ascii="Times New Roman" w:hAnsi="Times New Roman"/>
          <w:sz w:val="24"/>
          <w:szCs w:val="24"/>
        </w:rPr>
        <w:t xml:space="preserve">A flora Brasileira é reconhecida pela ampla diversidade de espécies, onde a Floresta Amazônica consiste no maior reservatório de diversidade vegetal do planeta (PEREIRA et al., 2011), no entanto, apresenta espécies pouco conhecidas e estudadas, como o pau-de-balsa </w:t>
      </w:r>
      <w:r w:rsidRPr="002B40FC">
        <w:rPr>
          <w:rFonts w:ascii="Times New Roman" w:hAnsi="Times New Roman"/>
          <w:i/>
          <w:sz w:val="24"/>
          <w:szCs w:val="24"/>
        </w:rPr>
        <w:t>Ochroma pyramidale</w:t>
      </w:r>
      <w:r w:rsidRPr="002B40FC">
        <w:rPr>
          <w:rFonts w:ascii="Times New Roman" w:hAnsi="Times New Roman"/>
          <w:sz w:val="24"/>
          <w:szCs w:val="24"/>
        </w:rPr>
        <w:t xml:space="preserve"> (Cav. ex Lam.) Urban. (Malvaceae).</w:t>
      </w:r>
    </w:p>
    <w:p w:rsidR="00857659" w:rsidRPr="002B40FC" w:rsidRDefault="00857659" w:rsidP="00460133">
      <w:pPr>
        <w:spacing w:after="0" w:line="360" w:lineRule="auto"/>
        <w:ind w:firstLine="567"/>
        <w:jc w:val="both"/>
        <w:rPr>
          <w:rFonts w:ascii="Times New Roman" w:hAnsi="Times New Roman"/>
          <w:sz w:val="24"/>
          <w:szCs w:val="24"/>
        </w:rPr>
      </w:pPr>
      <w:r w:rsidRPr="002B40FC">
        <w:rPr>
          <w:rFonts w:ascii="Times New Roman" w:hAnsi="Times New Roman"/>
          <w:sz w:val="24"/>
          <w:szCs w:val="24"/>
        </w:rPr>
        <w:t>O pau-de-balsa é caracterizado por apresentar importância econômica, ecológica e social. Ocorre desde o Sul do México até a Bolívia (DALBERTO, 2012). No Brasil, sua distribuição está concentrada principalmente nos estados do Acre, Amazonas, Pará e Roraima (CARVALHO, 2010). Porém, existem várias regiões no País, detentoras de ótimas condições para o seu desenvolvimento, uma vez que, possui alta adaptabilidade (REIS, 2011).</w:t>
      </w:r>
    </w:p>
    <w:p w:rsidR="00857659" w:rsidRPr="002B40FC" w:rsidRDefault="00857659" w:rsidP="00460133">
      <w:pPr>
        <w:spacing w:after="0" w:line="360" w:lineRule="auto"/>
        <w:ind w:firstLine="567"/>
        <w:jc w:val="both"/>
        <w:rPr>
          <w:rFonts w:ascii="Times New Roman" w:hAnsi="Times New Roman"/>
          <w:sz w:val="24"/>
          <w:szCs w:val="24"/>
        </w:rPr>
      </w:pPr>
      <w:r w:rsidRPr="002B40FC">
        <w:rPr>
          <w:rFonts w:ascii="Times New Roman" w:hAnsi="Times New Roman"/>
          <w:sz w:val="24"/>
          <w:szCs w:val="24"/>
        </w:rPr>
        <w:t xml:space="preserve">A espécie é utilizada em sistemas agroflorestais, plantios mistos destinados à recomposição de áreas degradadas e de preservação permanente, graças ao seu rápido crescimento e tolerância à luminosidade direta (SANTOS, 2014). </w:t>
      </w:r>
    </w:p>
    <w:p w:rsidR="00857659" w:rsidRPr="002B40FC" w:rsidRDefault="00857659" w:rsidP="00460133">
      <w:pPr>
        <w:spacing w:after="0" w:line="360" w:lineRule="auto"/>
        <w:ind w:firstLine="567"/>
        <w:jc w:val="both"/>
        <w:rPr>
          <w:rFonts w:ascii="Times New Roman" w:hAnsi="Times New Roman"/>
          <w:sz w:val="24"/>
          <w:szCs w:val="24"/>
        </w:rPr>
      </w:pPr>
      <w:r w:rsidRPr="002B40FC">
        <w:rPr>
          <w:rFonts w:ascii="Times New Roman" w:hAnsi="Times New Roman"/>
          <w:sz w:val="24"/>
          <w:szCs w:val="24"/>
        </w:rPr>
        <w:t xml:space="preserve">Sua madeira, possui baixa densidade, grande resistência às tensões, tornando-a fácil de trabalhar (PINTO, 1998). Diante de suas características, é empregada em construções aeromodelos, jangadas, balsas, salva-vidas, </w:t>
      </w:r>
      <w:r w:rsidR="00564FF9" w:rsidRPr="002B40FC">
        <w:rPr>
          <w:rFonts w:ascii="Times New Roman" w:hAnsi="Times New Roman"/>
          <w:sz w:val="24"/>
          <w:szCs w:val="24"/>
        </w:rPr>
        <w:t>boias</w:t>
      </w:r>
      <w:r w:rsidRPr="002B40FC">
        <w:rPr>
          <w:rFonts w:ascii="Times New Roman" w:hAnsi="Times New Roman"/>
          <w:sz w:val="24"/>
          <w:szCs w:val="24"/>
        </w:rPr>
        <w:t xml:space="preserve"> e brinquedos (LAMPRECHT, 1990). </w:t>
      </w:r>
    </w:p>
    <w:p w:rsidR="00857659" w:rsidRPr="002B40FC" w:rsidRDefault="00857659" w:rsidP="00460133">
      <w:pPr>
        <w:spacing w:after="0" w:line="360" w:lineRule="auto"/>
        <w:ind w:firstLine="567"/>
        <w:jc w:val="both"/>
        <w:rPr>
          <w:rFonts w:ascii="Times New Roman" w:hAnsi="Times New Roman"/>
          <w:sz w:val="24"/>
          <w:szCs w:val="24"/>
        </w:rPr>
      </w:pPr>
      <w:r w:rsidRPr="002B40FC">
        <w:rPr>
          <w:rFonts w:ascii="Times New Roman" w:hAnsi="Times New Roman"/>
          <w:sz w:val="24"/>
          <w:szCs w:val="24"/>
        </w:rPr>
        <w:t xml:space="preserve">Além disso, pode ser utilizada na fabricação de papel e celulose, forros de tetos, isolante térmico e caixas de embalagem de produtos perecíveis (RIZZINI, 1978), apresenta alto potencial para fabricação de chapas de </w:t>
      </w:r>
      <w:r w:rsidR="00142908" w:rsidRPr="002B40FC">
        <w:rPr>
          <w:rFonts w:ascii="Times New Roman" w:hAnsi="Times New Roman"/>
          <w:sz w:val="24"/>
          <w:szCs w:val="24"/>
        </w:rPr>
        <w:t>cimento madeira</w:t>
      </w:r>
      <w:r w:rsidRPr="002B40FC">
        <w:rPr>
          <w:rFonts w:ascii="Times New Roman" w:hAnsi="Times New Roman"/>
          <w:sz w:val="24"/>
          <w:szCs w:val="24"/>
        </w:rPr>
        <w:t>, móveis e pisos (SABOGAL et al., 2006). A paina que envolve sua semente é muito útil para preencher almofadas e travesseiros (LORENZI, 1992).</w:t>
      </w:r>
    </w:p>
    <w:p w:rsidR="00857659" w:rsidRPr="002B40FC" w:rsidRDefault="00857659" w:rsidP="00460133">
      <w:pPr>
        <w:spacing w:after="0" w:line="360" w:lineRule="auto"/>
        <w:ind w:firstLine="567"/>
        <w:jc w:val="both"/>
        <w:rPr>
          <w:rFonts w:ascii="Times New Roman" w:hAnsi="Times New Roman"/>
          <w:sz w:val="24"/>
          <w:szCs w:val="24"/>
        </w:rPr>
      </w:pPr>
      <w:r w:rsidRPr="002B40FC">
        <w:rPr>
          <w:rFonts w:ascii="Times New Roman" w:hAnsi="Times New Roman"/>
          <w:sz w:val="24"/>
          <w:szCs w:val="24"/>
        </w:rPr>
        <w:t xml:space="preserve">Entretanto, apesar de sua importância, possui limitação na forma de propagação, em decorrência da dormência tegumentar, esta, apresenta baixa taxa de germinação natural, portanto, é fundamental aprofundar em estudos alternativos na propagação da espécie, com intuito de contribuir para o maior sucesso em sua utilização. Uma alternativa viável é a micropropagação, recomendada para espécies com dificuldade de germinação e </w:t>
      </w:r>
      <w:r w:rsidRPr="002B40FC">
        <w:rPr>
          <w:rFonts w:ascii="Times New Roman" w:hAnsi="Times New Roman"/>
          <w:sz w:val="24"/>
          <w:szCs w:val="24"/>
        </w:rPr>
        <w:lastRenderedPageBreak/>
        <w:t xml:space="preserve">armazenamento, essa técnica, visa a produção de mudas em larga escala, com qualidade superior, em curto período e espaço reduzido (DE MOURA et al., 2012). </w:t>
      </w:r>
    </w:p>
    <w:p w:rsidR="00857659" w:rsidRPr="002B40FC" w:rsidRDefault="00857659" w:rsidP="00460133">
      <w:pPr>
        <w:spacing w:after="0" w:line="360" w:lineRule="auto"/>
        <w:ind w:firstLine="567"/>
        <w:jc w:val="both"/>
        <w:rPr>
          <w:rFonts w:ascii="Times New Roman" w:hAnsi="Times New Roman"/>
          <w:sz w:val="24"/>
          <w:szCs w:val="24"/>
        </w:rPr>
      </w:pPr>
      <w:r w:rsidRPr="002B40FC">
        <w:rPr>
          <w:rFonts w:ascii="Times New Roman" w:hAnsi="Times New Roman"/>
          <w:sz w:val="24"/>
          <w:szCs w:val="24"/>
        </w:rPr>
        <w:t>A técnica exige a otimização das condições de cultivo para cada espécie, onde o meio de cultura deverá suprir tecidos e órgãos com nutrientes necessários ao crescimento, basicamente, fornecer macro e micronutrientes, e um carboidrato para substituir o carbono fixado pela planta na atmosfera, através da fotossíntese (MONFORT et al., 2011).</w:t>
      </w:r>
    </w:p>
    <w:p w:rsidR="00857659" w:rsidRPr="002B40FC" w:rsidRDefault="00857659" w:rsidP="00460133">
      <w:pPr>
        <w:spacing w:after="0" w:line="360" w:lineRule="auto"/>
        <w:ind w:firstLine="567"/>
        <w:jc w:val="both"/>
        <w:rPr>
          <w:rFonts w:ascii="Times New Roman" w:hAnsi="Times New Roman"/>
          <w:sz w:val="24"/>
          <w:szCs w:val="24"/>
        </w:rPr>
      </w:pPr>
      <w:r w:rsidRPr="002B40FC">
        <w:rPr>
          <w:rFonts w:ascii="Times New Roman" w:hAnsi="Times New Roman"/>
          <w:sz w:val="24"/>
          <w:szCs w:val="24"/>
        </w:rPr>
        <w:t xml:space="preserve">Dentre as diversas formas de carbono no cultivo </w:t>
      </w:r>
      <w:r w:rsidRPr="002B40FC">
        <w:rPr>
          <w:rFonts w:ascii="Times New Roman" w:hAnsi="Times New Roman"/>
          <w:i/>
          <w:sz w:val="24"/>
          <w:szCs w:val="24"/>
        </w:rPr>
        <w:t>in vitro</w:t>
      </w:r>
      <w:r w:rsidRPr="002B40FC">
        <w:rPr>
          <w:rFonts w:ascii="Times New Roman" w:hAnsi="Times New Roman"/>
          <w:sz w:val="24"/>
          <w:szCs w:val="24"/>
        </w:rPr>
        <w:t>, a sacarose é a mais utilizada, por ser o hidratado de carbono mais comum na seiva do floema de muitas plantas (GAUCHAN, 2012). Vários autores, relataram seu efeito positivo, em diferentes espécies, além, da possibilidade de variações em sua concentração, o que beneficia o cultivo e reduz gastos (SILVEIRA et al., 2012; SORACE et al., 2008 e MOREIRA et al., 2007).</w:t>
      </w:r>
    </w:p>
    <w:p w:rsidR="00857659" w:rsidRPr="002B40FC" w:rsidRDefault="00857659" w:rsidP="00460133">
      <w:pPr>
        <w:spacing w:after="0" w:line="360" w:lineRule="auto"/>
        <w:ind w:firstLine="567"/>
        <w:jc w:val="both"/>
        <w:rPr>
          <w:rFonts w:ascii="Times New Roman" w:hAnsi="Times New Roman"/>
          <w:sz w:val="24"/>
          <w:szCs w:val="24"/>
        </w:rPr>
      </w:pPr>
      <w:r w:rsidRPr="002B40FC">
        <w:rPr>
          <w:rFonts w:ascii="Times New Roman" w:hAnsi="Times New Roman"/>
          <w:sz w:val="24"/>
          <w:szCs w:val="24"/>
        </w:rPr>
        <w:t xml:space="preserve">Em relação ao meio, muitos autores, mencionaram, a possibilidade de reduzir a concentração de sais do meio MS, para diversas espécies, com o intuito de melhorar o desenvolvimento e reduzir custos. Em inhame, </w:t>
      </w:r>
      <w:r w:rsidR="00460133">
        <w:rPr>
          <w:rFonts w:ascii="Times New Roman" w:hAnsi="Times New Roman"/>
          <w:sz w:val="24"/>
          <w:szCs w:val="24"/>
        </w:rPr>
        <w:t>verificou-se</w:t>
      </w:r>
      <w:r w:rsidRPr="002B40FC">
        <w:rPr>
          <w:rFonts w:ascii="Times New Roman" w:hAnsi="Times New Roman"/>
          <w:sz w:val="24"/>
          <w:szCs w:val="24"/>
        </w:rPr>
        <w:t xml:space="preserve"> que a redução da concentração de sais e vitaminas do meio MS a 50%, </w:t>
      </w:r>
      <w:r w:rsidR="00460133">
        <w:rPr>
          <w:rFonts w:ascii="Times New Roman" w:hAnsi="Times New Roman"/>
          <w:sz w:val="24"/>
          <w:szCs w:val="24"/>
        </w:rPr>
        <w:t>proporcionou</w:t>
      </w:r>
      <w:r w:rsidRPr="002B40FC">
        <w:rPr>
          <w:rFonts w:ascii="Times New Roman" w:hAnsi="Times New Roman"/>
          <w:sz w:val="24"/>
          <w:szCs w:val="24"/>
        </w:rPr>
        <w:t xml:space="preserve"> melhor desenvolvimento da parte aérea e radicular (SIMÕES et al., 2014). Dantas et al. (2000), relataram melhor enraizamento </w:t>
      </w:r>
      <w:r w:rsidRPr="002B40FC">
        <w:rPr>
          <w:rFonts w:ascii="Times New Roman" w:hAnsi="Times New Roman"/>
          <w:i/>
          <w:sz w:val="24"/>
          <w:szCs w:val="24"/>
        </w:rPr>
        <w:t>in vitro</w:t>
      </w:r>
      <w:r w:rsidRPr="002B40FC">
        <w:rPr>
          <w:rFonts w:ascii="Times New Roman" w:hAnsi="Times New Roman"/>
          <w:sz w:val="24"/>
          <w:szCs w:val="24"/>
        </w:rPr>
        <w:t xml:space="preserve"> de amoreira preta, quando utilizou-se concentrações de sais no meio básico MS reduzidas a 1/2, 1/3 ou 1/4. </w:t>
      </w:r>
    </w:p>
    <w:p w:rsidR="00857659" w:rsidRPr="002B40FC" w:rsidRDefault="00857659" w:rsidP="00460133">
      <w:pPr>
        <w:spacing w:after="0" w:line="360" w:lineRule="auto"/>
        <w:ind w:firstLine="567"/>
        <w:jc w:val="both"/>
        <w:rPr>
          <w:rFonts w:ascii="Times New Roman" w:hAnsi="Times New Roman"/>
          <w:sz w:val="24"/>
          <w:szCs w:val="24"/>
        </w:rPr>
      </w:pPr>
      <w:r w:rsidRPr="002B40FC">
        <w:rPr>
          <w:rFonts w:ascii="Times New Roman" w:hAnsi="Times New Roman"/>
          <w:sz w:val="24"/>
          <w:szCs w:val="24"/>
        </w:rPr>
        <w:t xml:space="preserve">Contudo, diante da importância do Pau-de-balsa, suas dificuldades, e escassez de trabalhos publicados envolvendo o cultivo </w:t>
      </w:r>
      <w:r w:rsidRPr="002B40FC">
        <w:rPr>
          <w:rFonts w:ascii="Times New Roman" w:hAnsi="Times New Roman"/>
          <w:i/>
          <w:sz w:val="24"/>
          <w:szCs w:val="24"/>
        </w:rPr>
        <w:t>in vitro</w:t>
      </w:r>
      <w:r w:rsidRPr="002B40FC">
        <w:rPr>
          <w:rFonts w:ascii="Times New Roman" w:hAnsi="Times New Roman"/>
          <w:sz w:val="24"/>
          <w:szCs w:val="24"/>
        </w:rPr>
        <w:t>, é fundamental, estabelecer de protocolos, para favorecer a propagação da espécie, tendo em vista, a produção de mudas com qualidade, em menor espaço e período de tempo. Dessa forma,</w:t>
      </w:r>
      <w:r w:rsidRPr="002B40FC">
        <w:rPr>
          <w:rFonts w:ascii="Times New Roman" w:hAnsi="Times New Roman"/>
          <w:color w:val="FF0000"/>
          <w:sz w:val="24"/>
          <w:szCs w:val="24"/>
        </w:rPr>
        <w:t xml:space="preserve"> </w:t>
      </w:r>
      <w:r w:rsidRPr="002B40FC">
        <w:rPr>
          <w:rFonts w:ascii="Times New Roman" w:hAnsi="Times New Roman"/>
          <w:sz w:val="24"/>
          <w:szCs w:val="24"/>
        </w:rPr>
        <w:t xml:space="preserve">o trabalho tem como objetivo avaliar o efeito das diferentes concentrações de meio MS e sacarose, no estabelecimento </w:t>
      </w:r>
      <w:r w:rsidRPr="002B40FC">
        <w:rPr>
          <w:rFonts w:ascii="Times New Roman" w:hAnsi="Times New Roman"/>
          <w:i/>
          <w:sz w:val="24"/>
          <w:szCs w:val="24"/>
        </w:rPr>
        <w:t>in vitro</w:t>
      </w:r>
      <w:r w:rsidRPr="002B40FC">
        <w:rPr>
          <w:rFonts w:ascii="Times New Roman" w:hAnsi="Times New Roman"/>
          <w:sz w:val="24"/>
          <w:szCs w:val="24"/>
        </w:rPr>
        <w:t xml:space="preserve"> de sementes pau-de-balsa. </w:t>
      </w:r>
    </w:p>
    <w:p w:rsidR="00857659" w:rsidRPr="002B40FC" w:rsidRDefault="00857659" w:rsidP="00460133">
      <w:pPr>
        <w:spacing w:after="0" w:line="360" w:lineRule="auto"/>
        <w:ind w:firstLine="567"/>
        <w:jc w:val="both"/>
        <w:rPr>
          <w:rFonts w:ascii="Times New Roman" w:hAnsi="Times New Roman"/>
          <w:sz w:val="24"/>
          <w:szCs w:val="24"/>
        </w:rPr>
      </w:pPr>
    </w:p>
    <w:p w:rsidR="0007095E" w:rsidRPr="002B40FC" w:rsidRDefault="0024369A" w:rsidP="00460133">
      <w:pPr>
        <w:spacing w:after="0" w:line="360" w:lineRule="auto"/>
        <w:jc w:val="both"/>
        <w:rPr>
          <w:rFonts w:ascii="Times New Roman" w:hAnsi="Times New Roman"/>
          <w:b/>
          <w:sz w:val="24"/>
          <w:szCs w:val="24"/>
        </w:rPr>
      </w:pPr>
      <w:r w:rsidRPr="002B40FC">
        <w:rPr>
          <w:rFonts w:ascii="Times New Roman" w:hAnsi="Times New Roman"/>
          <w:b/>
          <w:sz w:val="24"/>
          <w:szCs w:val="24"/>
        </w:rPr>
        <w:t>MATERIAL E MÉTODOS</w:t>
      </w:r>
    </w:p>
    <w:p w:rsidR="00857659" w:rsidRPr="002B40FC" w:rsidRDefault="00857659" w:rsidP="00460133">
      <w:pPr>
        <w:spacing w:after="0" w:line="360" w:lineRule="auto"/>
        <w:ind w:firstLine="567"/>
        <w:jc w:val="both"/>
        <w:rPr>
          <w:rFonts w:ascii="Times New Roman" w:hAnsi="Times New Roman"/>
          <w:b/>
          <w:sz w:val="24"/>
          <w:szCs w:val="24"/>
        </w:rPr>
      </w:pPr>
      <w:r w:rsidRPr="002B40FC">
        <w:rPr>
          <w:rFonts w:ascii="Times New Roman" w:hAnsi="Times New Roman"/>
          <w:sz w:val="24"/>
          <w:szCs w:val="24"/>
        </w:rPr>
        <w:t>A coleta de sementes deu-se no município de Orizona-GO, em um povoamento com 4 anos de idade</w:t>
      </w:r>
      <w:r w:rsidR="00564FF9" w:rsidRPr="002B40FC">
        <w:rPr>
          <w:rFonts w:ascii="Times New Roman" w:hAnsi="Times New Roman"/>
          <w:sz w:val="24"/>
          <w:szCs w:val="24"/>
        </w:rPr>
        <w:t>,</w:t>
      </w:r>
      <w:r w:rsidRPr="002B40FC">
        <w:rPr>
          <w:rFonts w:ascii="Times New Roman" w:hAnsi="Times New Roman"/>
          <w:sz w:val="24"/>
          <w:szCs w:val="24"/>
        </w:rPr>
        <w:t xml:space="preserve"> após levantamento e identificação de árvores matrizes. A prospecção teve como objetivo a seleção de árvores com características desejáveis a propagação vegetativa, os parâmetros avaliados, foram altura da árvore e diâmetro do fuste, padrões facilmente visualizados em campo.</w:t>
      </w:r>
    </w:p>
    <w:p w:rsidR="00857659" w:rsidRPr="002B40FC" w:rsidRDefault="00857659" w:rsidP="00460133">
      <w:pPr>
        <w:spacing w:after="0" w:line="360" w:lineRule="auto"/>
        <w:ind w:firstLine="567"/>
        <w:jc w:val="both"/>
        <w:rPr>
          <w:rFonts w:ascii="Times New Roman" w:hAnsi="Times New Roman"/>
          <w:sz w:val="24"/>
          <w:szCs w:val="24"/>
        </w:rPr>
      </w:pPr>
      <w:r w:rsidRPr="002B40FC">
        <w:rPr>
          <w:rFonts w:ascii="Times New Roman" w:hAnsi="Times New Roman"/>
          <w:sz w:val="24"/>
          <w:szCs w:val="24"/>
        </w:rPr>
        <w:t xml:space="preserve">Após a coleta, os frutos foram encaminhados ao Laboratório de Sementes Florestais da Universidade Estadual de Goiás - Câmpus Ipameri, para o beneficiamento e armazenamento. A extração das sementes ocorreu de forma manual, com posterior descarte dos indivíduos </w:t>
      </w:r>
      <w:r w:rsidRPr="002B40FC">
        <w:rPr>
          <w:rFonts w:ascii="Times New Roman" w:hAnsi="Times New Roman"/>
          <w:sz w:val="24"/>
          <w:szCs w:val="24"/>
        </w:rPr>
        <w:lastRenderedPageBreak/>
        <w:t xml:space="preserve">visivelmente inviáveis ou atacados por insetos, em seguida, foram armazenadas em sacos de papel, a fim de, garantir a conservação de suas qualidades físicas, fisiológicas e sanitárias. </w:t>
      </w:r>
    </w:p>
    <w:p w:rsidR="00857659" w:rsidRPr="002B40FC" w:rsidRDefault="00857659" w:rsidP="00460133">
      <w:pPr>
        <w:spacing w:after="0" w:line="360" w:lineRule="auto"/>
        <w:ind w:firstLine="567"/>
        <w:jc w:val="both"/>
        <w:rPr>
          <w:rFonts w:ascii="Times New Roman" w:hAnsi="Times New Roman"/>
          <w:sz w:val="24"/>
          <w:szCs w:val="24"/>
        </w:rPr>
      </w:pPr>
      <w:r w:rsidRPr="002B40FC">
        <w:rPr>
          <w:rFonts w:ascii="Times New Roman" w:hAnsi="Times New Roman"/>
          <w:sz w:val="24"/>
          <w:szCs w:val="24"/>
        </w:rPr>
        <w:t xml:space="preserve">Para a desinfestação das sementes, procedimento realizado antes do estabelecimento </w:t>
      </w:r>
      <w:r w:rsidRPr="002B40FC">
        <w:rPr>
          <w:rFonts w:ascii="Times New Roman" w:hAnsi="Times New Roman"/>
          <w:i/>
          <w:sz w:val="24"/>
          <w:szCs w:val="24"/>
        </w:rPr>
        <w:t xml:space="preserve">in vitro, </w:t>
      </w:r>
      <w:r w:rsidRPr="002B40FC">
        <w:rPr>
          <w:rFonts w:ascii="Times New Roman" w:hAnsi="Times New Roman"/>
          <w:sz w:val="24"/>
          <w:szCs w:val="24"/>
        </w:rPr>
        <w:t>a assepsia foi dividida em três partes, 1) utilização de detergente por 5 minutos, para quebra da tensão superficial intensificando a ação dos outros produtos; 2) submersão das sementes em álcool 70% por um minuto e 3) finalizando com uso de hipoclorito 50% por 30 minutos sob agitação constante. Após cada procedimento as sementes foram lavadas com água destilada até total eliminação dos produtos utilizados. A quebra de dormência ocorreu através da imersão em água fervente por 8 minutos.</w:t>
      </w:r>
    </w:p>
    <w:p w:rsidR="00857659" w:rsidRPr="002B40FC" w:rsidRDefault="00857659" w:rsidP="00460133">
      <w:pPr>
        <w:spacing w:after="0" w:line="360" w:lineRule="auto"/>
        <w:ind w:firstLine="567"/>
        <w:jc w:val="both"/>
        <w:rPr>
          <w:rFonts w:ascii="Times New Roman" w:hAnsi="Times New Roman"/>
          <w:sz w:val="24"/>
          <w:szCs w:val="24"/>
        </w:rPr>
      </w:pPr>
      <w:r w:rsidRPr="002B40FC">
        <w:rPr>
          <w:rFonts w:ascii="Times New Roman" w:hAnsi="Times New Roman"/>
          <w:sz w:val="24"/>
          <w:szCs w:val="24"/>
        </w:rPr>
        <w:t xml:space="preserve">O estabelecimento </w:t>
      </w:r>
      <w:r w:rsidRPr="002B40FC">
        <w:rPr>
          <w:rFonts w:ascii="Times New Roman" w:hAnsi="Times New Roman"/>
          <w:i/>
          <w:sz w:val="24"/>
          <w:szCs w:val="24"/>
        </w:rPr>
        <w:t>in vitro</w:t>
      </w:r>
      <w:r w:rsidRPr="002B40FC">
        <w:rPr>
          <w:rFonts w:ascii="Times New Roman" w:hAnsi="Times New Roman"/>
          <w:sz w:val="24"/>
          <w:szCs w:val="24"/>
        </w:rPr>
        <w:t xml:space="preserve"> ocorreu no Laboratório de Biotecnologia do Instituto Federal Goiano - Câmpus Urutaí. As sementes foram inoculadas em meio MS, com diferentes concentrações de sais (macro e micronutrientes) (50 e 100%), combinados com quatro concentrações de sacarose (0; 15; 20 e 25 g.L</w:t>
      </w:r>
      <w:r w:rsidRPr="002B40FC">
        <w:rPr>
          <w:rFonts w:ascii="Times New Roman" w:hAnsi="Times New Roman"/>
          <w:sz w:val="24"/>
          <w:szCs w:val="24"/>
          <w:vertAlign w:val="superscript"/>
        </w:rPr>
        <w:t>-1</w:t>
      </w:r>
      <w:r w:rsidRPr="002B40FC">
        <w:rPr>
          <w:rFonts w:ascii="Times New Roman" w:hAnsi="Times New Roman"/>
          <w:sz w:val="24"/>
          <w:szCs w:val="24"/>
        </w:rPr>
        <w:t>) acrescidos com 1g.L</w:t>
      </w:r>
      <w:r w:rsidRPr="002B40FC">
        <w:rPr>
          <w:rFonts w:ascii="Times New Roman" w:hAnsi="Times New Roman"/>
          <w:sz w:val="24"/>
          <w:szCs w:val="24"/>
          <w:vertAlign w:val="superscript"/>
        </w:rPr>
        <w:t>-1</w:t>
      </w:r>
      <w:r w:rsidRPr="002B40FC">
        <w:rPr>
          <w:rFonts w:ascii="Times New Roman" w:hAnsi="Times New Roman"/>
          <w:sz w:val="24"/>
          <w:szCs w:val="24"/>
        </w:rPr>
        <w:t xml:space="preserve"> de BAP. O pH foi ajustado para 5,8 </w:t>
      </w:r>
      <w:r w:rsidRPr="002B40FC">
        <w:rPr>
          <w:rFonts w:ascii="Times New Roman" w:hAnsi="Times New Roman"/>
          <w:sz w:val="24"/>
          <w:szCs w:val="24"/>
          <w:u w:val="single"/>
        </w:rPr>
        <w:t>+</w:t>
      </w:r>
      <w:r w:rsidRPr="002B40FC">
        <w:rPr>
          <w:rFonts w:ascii="Times New Roman" w:hAnsi="Times New Roman"/>
          <w:sz w:val="24"/>
          <w:szCs w:val="24"/>
        </w:rPr>
        <w:t xml:space="preserve"> 2 antes da esterilização a 1,5 atm, a 120ºC por 20 minutos conforme metodologia de Rodrigues, (2010).</w:t>
      </w:r>
    </w:p>
    <w:p w:rsidR="00857659" w:rsidRPr="002B40FC" w:rsidRDefault="00857659" w:rsidP="00460133">
      <w:pPr>
        <w:tabs>
          <w:tab w:val="left" w:pos="567"/>
        </w:tabs>
        <w:spacing w:after="0" w:line="360" w:lineRule="auto"/>
        <w:ind w:firstLine="567"/>
        <w:jc w:val="both"/>
        <w:rPr>
          <w:rFonts w:ascii="Times New Roman" w:hAnsi="Times New Roman"/>
          <w:sz w:val="24"/>
          <w:szCs w:val="24"/>
        </w:rPr>
      </w:pPr>
      <w:r w:rsidRPr="002B40FC">
        <w:rPr>
          <w:rFonts w:ascii="Times New Roman" w:hAnsi="Times New Roman"/>
          <w:sz w:val="24"/>
          <w:szCs w:val="24"/>
        </w:rPr>
        <w:t xml:space="preserve">A inoculação das sementes ocorreu em tubos de ensaio (25x150 mm), vedados com duas camadas de insulfilm, contendo 10 mL de meio e uma semente por frasco. Este procedimento realizou-se em câmara asséptica de fluxo laminar, para controle da assepsia. Após a inoculação, os tubos foram colocados em ambientes com meia luz por 7 dias para indução de germinação com temperatura de 25º </w:t>
      </w:r>
      <w:r w:rsidRPr="002B40FC">
        <w:rPr>
          <w:rFonts w:ascii="Times New Roman" w:hAnsi="Times New Roman"/>
          <w:sz w:val="24"/>
          <w:szCs w:val="24"/>
          <w:u w:val="single"/>
        </w:rPr>
        <w:t>+</w:t>
      </w:r>
      <w:r w:rsidRPr="002B40FC">
        <w:rPr>
          <w:rFonts w:ascii="Times New Roman" w:hAnsi="Times New Roman"/>
          <w:sz w:val="24"/>
          <w:szCs w:val="24"/>
        </w:rPr>
        <w:t xml:space="preserve"> 2ºC e luminosidade de microMols de 40W com lâmpadas fluorescentes e foto período de 16 horas.</w:t>
      </w:r>
    </w:p>
    <w:p w:rsidR="00857659" w:rsidRPr="002B40FC" w:rsidRDefault="00857659" w:rsidP="00460133">
      <w:pPr>
        <w:tabs>
          <w:tab w:val="left" w:pos="567"/>
        </w:tabs>
        <w:spacing w:after="0" w:line="360" w:lineRule="auto"/>
        <w:ind w:firstLine="567"/>
        <w:jc w:val="both"/>
        <w:rPr>
          <w:rFonts w:ascii="Times New Roman" w:hAnsi="Times New Roman"/>
          <w:sz w:val="24"/>
          <w:szCs w:val="24"/>
        </w:rPr>
      </w:pPr>
      <w:r w:rsidRPr="002B40FC">
        <w:rPr>
          <w:rFonts w:ascii="Times New Roman" w:hAnsi="Times New Roman"/>
          <w:sz w:val="24"/>
          <w:szCs w:val="24"/>
        </w:rPr>
        <w:t>O delineamento experimental foi inteiramente casualizado, em esquema fatorial 2x4, duas concentrações de meio MS (50 e 100%) e quatro de sacarose (0, 15, 20 e 25 g.L</w:t>
      </w:r>
      <w:r w:rsidRPr="002B40FC">
        <w:rPr>
          <w:rFonts w:ascii="Times New Roman" w:hAnsi="Times New Roman"/>
          <w:sz w:val="24"/>
          <w:szCs w:val="24"/>
          <w:vertAlign w:val="superscript"/>
        </w:rPr>
        <w:t>-1</w:t>
      </w:r>
      <w:r w:rsidRPr="002B40FC">
        <w:rPr>
          <w:rFonts w:ascii="Times New Roman" w:hAnsi="Times New Roman"/>
          <w:sz w:val="24"/>
          <w:szCs w:val="24"/>
        </w:rPr>
        <w:t xml:space="preserve">), totalizando 8 tratamentos com 15 repetições e em cada repetição 3 indivíduos, dessa forma, inoculou-se 360 indivíduos. </w:t>
      </w:r>
    </w:p>
    <w:p w:rsidR="00857659" w:rsidRPr="002B40FC" w:rsidRDefault="00857659" w:rsidP="00460133">
      <w:pPr>
        <w:tabs>
          <w:tab w:val="left" w:pos="567"/>
        </w:tabs>
        <w:spacing w:after="0" w:line="360" w:lineRule="auto"/>
        <w:ind w:firstLine="567"/>
        <w:jc w:val="both"/>
        <w:rPr>
          <w:rFonts w:ascii="Times New Roman" w:hAnsi="Times New Roman"/>
          <w:sz w:val="24"/>
          <w:szCs w:val="24"/>
        </w:rPr>
      </w:pPr>
      <w:r w:rsidRPr="002B40FC">
        <w:rPr>
          <w:rFonts w:ascii="Times New Roman" w:hAnsi="Times New Roman"/>
          <w:sz w:val="24"/>
          <w:szCs w:val="24"/>
        </w:rPr>
        <w:t xml:space="preserve">Os tratamentos foram dispostos da seguinte forma: </w:t>
      </w:r>
      <w:r w:rsidRPr="002B40FC">
        <w:rPr>
          <w:rFonts w:ascii="Times New Roman" w:hAnsi="Times New Roman"/>
          <w:b/>
          <w:sz w:val="24"/>
          <w:szCs w:val="24"/>
        </w:rPr>
        <w:t>T1</w:t>
      </w:r>
      <w:r w:rsidRPr="002B40FC">
        <w:rPr>
          <w:rFonts w:ascii="Times New Roman" w:hAnsi="Times New Roman"/>
          <w:sz w:val="24"/>
          <w:szCs w:val="24"/>
        </w:rPr>
        <w:t>- MS 50% e 0 g.L</w:t>
      </w:r>
      <w:r w:rsidRPr="002B40FC">
        <w:rPr>
          <w:rFonts w:ascii="Times New Roman" w:hAnsi="Times New Roman"/>
          <w:sz w:val="24"/>
          <w:szCs w:val="24"/>
          <w:vertAlign w:val="superscript"/>
        </w:rPr>
        <w:t>-1</w:t>
      </w:r>
      <w:r w:rsidRPr="002B40FC">
        <w:rPr>
          <w:rFonts w:ascii="Times New Roman" w:hAnsi="Times New Roman"/>
          <w:sz w:val="24"/>
          <w:szCs w:val="24"/>
        </w:rPr>
        <w:t xml:space="preserve"> de sacarose; </w:t>
      </w:r>
      <w:r w:rsidRPr="002B40FC">
        <w:rPr>
          <w:rFonts w:ascii="Times New Roman" w:hAnsi="Times New Roman"/>
          <w:b/>
          <w:sz w:val="24"/>
          <w:szCs w:val="24"/>
        </w:rPr>
        <w:t>T2</w:t>
      </w:r>
      <w:r w:rsidRPr="002B40FC">
        <w:rPr>
          <w:rFonts w:ascii="Times New Roman" w:hAnsi="Times New Roman"/>
          <w:sz w:val="24"/>
          <w:szCs w:val="24"/>
        </w:rPr>
        <w:t>- MS 50% e 15 g.L</w:t>
      </w:r>
      <w:r w:rsidRPr="002B40FC">
        <w:rPr>
          <w:rFonts w:ascii="Times New Roman" w:hAnsi="Times New Roman"/>
          <w:sz w:val="24"/>
          <w:szCs w:val="24"/>
          <w:vertAlign w:val="superscript"/>
        </w:rPr>
        <w:t>-1</w:t>
      </w:r>
      <w:r w:rsidRPr="002B40FC">
        <w:rPr>
          <w:rFonts w:ascii="Times New Roman" w:hAnsi="Times New Roman"/>
          <w:sz w:val="24"/>
          <w:szCs w:val="24"/>
        </w:rPr>
        <w:t xml:space="preserve"> de sacarose; </w:t>
      </w:r>
      <w:r w:rsidRPr="002B40FC">
        <w:rPr>
          <w:rFonts w:ascii="Times New Roman" w:hAnsi="Times New Roman"/>
          <w:b/>
          <w:sz w:val="24"/>
          <w:szCs w:val="24"/>
        </w:rPr>
        <w:t>T3-</w:t>
      </w:r>
      <w:r w:rsidRPr="002B40FC">
        <w:rPr>
          <w:rFonts w:ascii="Times New Roman" w:hAnsi="Times New Roman"/>
          <w:sz w:val="24"/>
          <w:szCs w:val="24"/>
        </w:rPr>
        <w:t xml:space="preserve"> MS 50% e 20 g.L</w:t>
      </w:r>
      <w:r w:rsidRPr="002B40FC">
        <w:rPr>
          <w:rFonts w:ascii="Times New Roman" w:hAnsi="Times New Roman"/>
          <w:sz w:val="24"/>
          <w:szCs w:val="24"/>
          <w:vertAlign w:val="superscript"/>
        </w:rPr>
        <w:t>-1</w:t>
      </w:r>
      <w:r w:rsidRPr="002B40FC">
        <w:rPr>
          <w:rFonts w:ascii="Times New Roman" w:hAnsi="Times New Roman"/>
          <w:sz w:val="24"/>
          <w:szCs w:val="24"/>
        </w:rPr>
        <w:t xml:space="preserve"> de sacarose; </w:t>
      </w:r>
      <w:r w:rsidRPr="002B40FC">
        <w:rPr>
          <w:rFonts w:ascii="Times New Roman" w:hAnsi="Times New Roman"/>
          <w:b/>
          <w:sz w:val="24"/>
          <w:szCs w:val="24"/>
        </w:rPr>
        <w:t>T4</w:t>
      </w:r>
      <w:r w:rsidRPr="002B40FC">
        <w:rPr>
          <w:rFonts w:ascii="Times New Roman" w:hAnsi="Times New Roman"/>
          <w:sz w:val="24"/>
          <w:szCs w:val="24"/>
        </w:rPr>
        <w:t>- MS 50% e 25 g.L</w:t>
      </w:r>
      <w:r w:rsidRPr="002B40FC">
        <w:rPr>
          <w:rFonts w:ascii="Times New Roman" w:hAnsi="Times New Roman"/>
          <w:sz w:val="24"/>
          <w:szCs w:val="24"/>
          <w:vertAlign w:val="superscript"/>
        </w:rPr>
        <w:t>-1</w:t>
      </w:r>
      <w:r w:rsidRPr="002B40FC">
        <w:rPr>
          <w:rFonts w:ascii="Times New Roman" w:hAnsi="Times New Roman"/>
          <w:sz w:val="24"/>
          <w:szCs w:val="24"/>
        </w:rPr>
        <w:t xml:space="preserve"> de sacarose; </w:t>
      </w:r>
      <w:r w:rsidRPr="002B40FC">
        <w:rPr>
          <w:rFonts w:ascii="Times New Roman" w:hAnsi="Times New Roman"/>
          <w:b/>
          <w:sz w:val="24"/>
          <w:szCs w:val="24"/>
        </w:rPr>
        <w:t>T5</w:t>
      </w:r>
      <w:r w:rsidRPr="002B40FC">
        <w:rPr>
          <w:rFonts w:ascii="Times New Roman" w:hAnsi="Times New Roman"/>
          <w:sz w:val="24"/>
          <w:szCs w:val="24"/>
        </w:rPr>
        <w:t>- MS 100% e 0 g.L</w:t>
      </w:r>
      <w:r w:rsidRPr="002B40FC">
        <w:rPr>
          <w:rFonts w:ascii="Times New Roman" w:hAnsi="Times New Roman"/>
          <w:sz w:val="24"/>
          <w:szCs w:val="24"/>
          <w:vertAlign w:val="superscript"/>
        </w:rPr>
        <w:t>-1</w:t>
      </w:r>
      <w:r w:rsidRPr="002B40FC">
        <w:rPr>
          <w:rFonts w:ascii="Times New Roman" w:hAnsi="Times New Roman"/>
          <w:sz w:val="24"/>
          <w:szCs w:val="24"/>
        </w:rPr>
        <w:t xml:space="preserve"> de sacarose; </w:t>
      </w:r>
      <w:r w:rsidRPr="002B40FC">
        <w:rPr>
          <w:rFonts w:ascii="Times New Roman" w:hAnsi="Times New Roman"/>
          <w:b/>
          <w:sz w:val="24"/>
          <w:szCs w:val="24"/>
        </w:rPr>
        <w:t>T6</w:t>
      </w:r>
      <w:r w:rsidRPr="002B40FC">
        <w:rPr>
          <w:rFonts w:ascii="Times New Roman" w:hAnsi="Times New Roman"/>
          <w:sz w:val="24"/>
          <w:szCs w:val="24"/>
        </w:rPr>
        <w:t>- MS 100% e 15 g.L</w:t>
      </w:r>
      <w:r w:rsidRPr="002B40FC">
        <w:rPr>
          <w:rFonts w:ascii="Times New Roman" w:hAnsi="Times New Roman"/>
          <w:sz w:val="24"/>
          <w:szCs w:val="24"/>
          <w:vertAlign w:val="superscript"/>
        </w:rPr>
        <w:t>-1</w:t>
      </w:r>
      <w:r w:rsidRPr="002B40FC">
        <w:rPr>
          <w:rFonts w:ascii="Times New Roman" w:hAnsi="Times New Roman"/>
          <w:sz w:val="24"/>
          <w:szCs w:val="24"/>
        </w:rPr>
        <w:t xml:space="preserve"> de sacarose; </w:t>
      </w:r>
    </w:p>
    <w:p w:rsidR="00857659" w:rsidRPr="002B40FC" w:rsidRDefault="00857659" w:rsidP="00460133">
      <w:pPr>
        <w:tabs>
          <w:tab w:val="left" w:pos="567"/>
        </w:tabs>
        <w:spacing w:after="0" w:line="360" w:lineRule="auto"/>
        <w:jc w:val="both"/>
        <w:rPr>
          <w:rFonts w:ascii="Times New Roman" w:hAnsi="Times New Roman"/>
          <w:sz w:val="24"/>
          <w:szCs w:val="24"/>
        </w:rPr>
      </w:pPr>
      <w:r w:rsidRPr="002B40FC">
        <w:rPr>
          <w:rFonts w:ascii="Times New Roman" w:hAnsi="Times New Roman"/>
          <w:b/>
          <w:sz w:val="24"/>
          <w:szCs w:val="24"/>
        </w:rPr>
        <w:t>T7</w:t>
      </w:r>
      <w:r w:rsidRPr="002B40FC">
        <w:rPr>
          <w:rFonts w:ascii="Times New Roman" w:hAnsi="Times New Roman"/>
          <w:sz w:val="24"/>
          <w:szCs w:val="24"/>
        </w:rPr>
        <w:t>- MS 100% e 20 g.L</w:t>
      </w:r>
      <w:r w:rsidRPr="002B40FC">
        <w:rPr>
          <w:rFonts w:ascii="Times New Roman" w:hAnsi="Times New Roman"/>
          <w:sz w:val="24"/>
          <w:szCs w:val="24"/>
          <w:vertAlign w:val="superscript"/>
        </w:rPr>
        <w:t>-1</w:t>
      </w:r>
      <w:r w:rsidR="0078518C" w:rsidRPr="002B40FC">
        <w:rPr>
          <w:rFonts w:ascii="Times New Roman" w:hAnsi="Times New Roman"/>
          <w:sz w:val="24"/>
          <w:szCs w:val="24"/>
        </w:rPr>
        <w:t xml:space="preserve"> de sacarose e </w:t>
      </w:r>
      <w:r w:rsidRPr="002B40FC">
        <w:rPr>
          <w:rFonts w:ascii="Times New Roman" w:hAnsi="Times New Roman"/>
          <w:b/>
          <w:sz w:val="24"/>
          <w:szCs w:val="24"/>
        </w:rPr>
        <w:t>T8-</w:t>
      </w:r>
      <w:r w:rsidRPr="002B40FC">
        <w:rPr>
          <w:rFonts w:ascii="Times New Roman" w:hAnsi="Times New Roman"/>
          <w:sz w:val="24"/>
          <w:szCs w:val="24"/>
        </w:rPr>
        <w:t xml:space="preserve"> MS 100% e 25 g.L</w:t>
      </w:r>
      <w:r w:rsidRPr="002B40FC">
        <w:rPr>
          <w:rFonts w:ascii="Times New Roman" w:hAnsi="Times New Roman"/>
          <w:sz w:val="24"/>
          <w:szCs w:val="24"/>
          <w:vertAlign w:val="superscript"/>
        </w:rPr>
        <w:t>-1</w:t>
      </w:r>
      <w:r w:rsidRPr="002B40FC">
        <w:rPr>
          <w:rFonts w:ascii="Times New Roman" w:hAnsi="Times New Roman"/>
          <w:sz w:val="24"/>
          <w:szCs w:val="24"/>
        </w:rPr>
        <w:t xml:space="preserve"> de sacarose.</w:t>
      </w:r>
    </w:p>
    <w:p w:rsidR="00857659" w:rsidRPr="002B40FC" w:rsidRDefault="00857659" w:rsidP="00460133">
      <w:pPr>
        <w:tabs>
          <w:tab w:val="left" w:pos="567"/>
        </w:tabs>
        <w:spacing w:after="0" w:line="360" w:lineRule="auto"/>
        <w:ind w:firstLine="567"/>
        <w:jc w:val="both"/>
        <w:rPr>
          <w:rFonts w:ascii="Times New Roman" w:hAnsi="Times New Roman"/>
          <w:color w:val="000000"/>
          <w:sz w:val="24"/>
          <w:szCs w:val="24"/>
        </w:rPr>
      </w:pPr>
      <w:r w:rsidRPr="002B40FC">
        <w:rPr>
          <w:rFonts w:ascii="Times New Roman" w:hAnsi="Times New Roman"/>
          <w:color w:val="000000"/>
          <w:sz w:val="24"/>
          <w:szCs w:val="24"/>
        </w:rPr>
        <w:t xml:space="preserve">As variáveis foram avaliadas através de análise de regressão: </w:t>
      </w:r>
      <w:r w:rsidRPr="002B40FC">
        <w:rPr>
          <w:rFonts w:ascii="Times New Roman" w:hAnsi="Times New Roman"/>
          <w:sz w:val="24"/>
          <w:szCs w:val="24"/>
        </w:rPr>
        <w:t>germinação, par de folhas, comprimento radicular e de parte aérea, massa seca e fresca das plântulas, calogênese, senescência e contaminação</w:t>
      </w:r>
      <w:r w:rsidRPr="002B40FC">
        <w:rPr>
          <w:rFonts w:ascii="Times New Roman" w:hAnsi="Times New Roman"/>
          <w:color w:val="000000"/>
          <w:sz w:val="24"/>
          <w:szCs w:val="24"/>
        </w:rPr>
        <w:t>.</w:t>
      </w:r>
    </w:p>
    <w:p w:rsidR="00857659" w:rsidRPr="002B40FC" w:rsidRDefault="00857659" w:rsidP="00460133">
      <w:pPr>
        <w:tabs>
          <w:tab w:val="left" w:pos="567"/>
        </w:tabs>
        <w:spacing w:after="0" w:line="360" w:lineRule="auto"/>
        <w:ind w:firstLine="567"/>
        <w:jc w:val="both"/>
        <w:rPr>
          <w:rFonts w:ascii="Times New Roman" w:eastAsia="Arial" w:hAnsi="Times New Roman"/>
          <w:b/>
          <w:sz w:val="24"/>
          <w:szCs w:val="24"/>
        </w:rPr>
      </w:pPr>
      <w:r w:rsidRPr="002B40FC">
        <w:rPr>
          <w:rFonts w:ascii="Times New Roman" w:hAnsi="Times New Roman"/>
          <w:color w:val="000000"/>
          <w:sz w:val="24"/>
          <w:szCs w:val="24"/>
        </w:rPr>
        <w:lastRenderedPageBreak/>
        <w:t>Os dados em porcentagem, foram transformados em arcsen</w:t>
      </w:r>
      <w:r w:rsidR="00D821F2">
        <w:rPr>
          <w:rFonts w:ascii="Times New Roman" w:hAnsi="Times New Roman"/>
          <w:color w:val="000000"/>
          <w:sz w:val="24"/>
          <w:szCs w:val="24"/>
        </w:rPr>
        <w:t>,</w:t>
      </w:r>
      <w:r w:rsidRPr="002B40FC">
        <w:rPr>
          <w:rFonts w:ascii="Times New Roman" w:hAnsi="Times New Roman"/>
          <w:color w:val="000000"/>
          <w:sz w:val="24"/>
          <w:szCs w:val="24"/>
        </w:rPr>
        <w:t xml:space="preserve"> </w:t>
      </w:r>
      <m:oMath>
        <m:r>
          <w:rPr>
            <w:rFonts w:ascii="Cambria Math" w:hAnsi="Cambria Math"/>
            <w:color w:val="000000"/>
            <w:sz w:val="24"/>
            <w:szCs w:val="24"/>
          </w:rPr>
          <m:t>1. √ (x</m:t>
        </m:r>
        <m:r>
          <m:rPr>
            <m:sty m:val="p"/>
          </m:rPr>
          <w:rPr>
            <w:rFonts w:ascii="Cambria Math" w:hAnsi="Cambria Math"/>
            <w:color w:val="000000"/>
            <w:sz w:val="24"/>
            <w:szCs w:val="24"/>
          </w:rPr>
          <m:t>/100)</m:t>
        </m:r>
      </m:oMath>
      <w:r w:rsidRPr="002B40FC">
        <w:rPr>
          <w:rFonts w:ascii="Times New Roman" w:hAnsi="Times New Roman"/>
          <w:color w:val="000000"/>
          <w:sz w:val="24"/>
          <w:szCs w:val="24"/>
        </w:rPr>
        <w:t xml:space="preserve">, já os dados quantitativos, foram transformados por </w:t>
      </w:r>
      <w:r w:rsidR="0049528F" w:rsidRPr="002B40FC">
        <w:rPr>
          <w:rFonts w:ascii="Times New Roman" w:hAnsi="Times New Roman"/>
          <w:color w:val="000000"/>
          <w:sz w:val="24"/>
          <w:szCs w:val="24"/>
        </w:rPr>
        <w:t xml:space="preserve">2. </w:t>
      </w:r>
      <m:oMath>
        <m:rad>
          <m:radPr>
            <m:degHide m:val="1"/>
            <m:ctrlPr>
              <w:rPr>
                <w:rFonts w:ascii="Cambria Math" w:hAnsi="Cambria Math"/>
                <w:i/>
                <w:sz w:val="24"/>
                <w:szCs w:val="24"/>
              </w:rPr>
            </m:ctrlPr>
          </m:radPr>
          <m:deg/>
          <m:e>
            <m:r>
              <w:rPr>
                <w:rFonts w:ascii="Cambria Math" w:hAnsi="Cambria Math"/>
                <w:sz w:val="24"/>
                <w:szCs w:val="24"/>
              </w:rPr>
              <m:t>(x+1</m:t>
            </m:r>
          </m:e>
        </m:rad>
        <m:r>
          <w:rPr>
            <w:rFonts w:ascii="Cambria Math" w:hAnsi="Cambria Math"/>
            <w:sz w:val="24"/>
            <w:szCs w:val="24"/>
          </w:rPr>
          <m:t>)</m:t>
        </m:r>
      </m:oMath>
      <w:r w:rsidRPr="002B40FC">
        <w:rPr>
          <w:rFonts w:ascii="Times New Roman" w:hAnsi="Times New Roman"/>
          <w:color w:val="000000"/>
          <w:sz w:val="24"/>
          <w:szCs w:val="24"/>
        </w:rPr>
        <w:t xml:space="preserve"> com o intuito de se ter homogeneidade e normalidade nos dados, em seguida, foram submetidos a análise de variância (ANOVA) e as médias comparadas pelo teste de Tukey através do programa ASSISTAT na versão 7.7 beta (SILVA, 2014).</w:t>
      </w:r>
      <w:r w:rsidRPr="002B40FC">
        <w:rPr>
          <w:rFonts w:ascii="Times New Roman" w:eastAsia="Arial" w:hAnsi="Times New Roman"/>
          <w:b/>
          <w:sz w:val="24"/>
          <w:szCs w:val="24"/>
        </w:rPr>
        <w:t xml:space="preserve"> </w:t>
      </w:r>
    </w:p>
    <w:p w:rsidR="000630E8" w:rsidRPr="002B40FC" w:rsidRDefault="000630E8" w:rsidP="00460133">
      <w:pPr>
        <w:tabs>
          <w:tab w:val="left" w:pos="567"/>
        </w:tabs>
        <w:spacing w:after="0" w:line="360" w:lineRule="auto"/>
        <w:jc w:val="both"/>
        <w:rPr>
          <w:rFonts w:ascii="Times New Roman" w:eastAsia="Arial" w:hAnsi="Times New Roman"/>
          <w:b/>
          <w:sz w:val="24"/>
          <w:szCs w:val="24"/>
        </w:rPr>
      </w:pPr>
    </w:p>
    <w:p w:rsidR="0007095E" w:rsidRPr="002B40FC" w:rsidRDefault="0024369A" w:rsidP="00460133">
      <w:pPr>
        <w:tabs>
          <w:tab w:val="left" w:pos="567"/>
        </w:tabs>
        <w:spacing w:after="0" w:line="360" w:lineRule="auto"/>
        <w:jc w:val="both"/>
        <w:rPr>
          <w:rFonts w:ascii="Times New Roman" w:hAnsi="Times New Roman"/>
          <w:color w:val="000000"/>
          <w:sz w:val="24"/>
          <w:szCs w:val="24"/>
        </w:rPr>
      </w:pPr>
      <w:r w:rsidRPr="002B40FC">
        <w:rPr>
          <w:rFonts w:ascii="Times New Roman" w:eastAsia="Arial" w:hAnsi="Times New Roman"/>
          <w:b/>
          <w:sz w:val="24"/>
          <w:szCs w:val="24"/>
        </w:rPr>
        <w:t>RESULTADOS E DISCUSSÃO</w:t>
      </w:r>
    </w:p>
    <w:p w:rsidR="00857659" w:rsidRPr="002B40FC" w:rsidRDefault="0007095E" w:rsidP="00460133">
      <w:pPr>
        <w:tabs>
          <w:tab w:val="left" w:pos="567"/>
        </w:tabs>
        <w:spacing w:after="0" w:line="360" w:lineRule="auto"/>
        <w:ind w:firstLine="567"/>
        <w:jc w:val="both"/>
        <w:rPr>
          <w:rFonts w:ascii="Times New Roman" w:hAnsi="Times New Roman"/>
          <w:color w:val="000000"/>
          <w:sz w:val="24"/>
          <w:szCs w:val="24"/>
        </w:rPr>
      </w:pPr>
      <w:r w:rsidRPr="002B40FC">
        <w:rPr>
          <w:rFonts w:ascii="Times New Roman" w:hAnsi="Times New Roman"/>
          <w:color w:val="000000"/>
          <w:sz w:val="24"/>
          <w:szCs w:val="24"/>
        </w:rPr>
        <w:tab/>
      </w:r>
      <w:r w:rsidR="00857659" w:rsidRPr="002B40FC">
        <w:rPr>
          <w:rFonts w:ascii="Times New Roman" w:eastAsia="Arial" w:hAnsi="Times New Roman"/>
          <w:sz w:val="24"/>
          <w:szCs w:val="24"/>
        </w:rPr>
        <w:t xml:space="preserve">As sementes de pau-de-balsa iniciaram o processo de germinação </w:t>
      </w:r>
      <w:r w:rsidR="00857659" w:rsidRPr="002B40FC">
        <w:rPr>
          <w:rFonts w:ascii="Times New Roman" w:eastAsia="Arial" w:hAnsi="Times New Roman"/>
          <w:i/>
          <w:sz w:val="24"/>
          <w:szCs w:val="24"/>
        </w:rPr>
        <w:t>in vitro</w:t>
      </w:r>
      <w:r w:rsidR="00857659" w:rsidRPr="002B40FC">
        <w:rPr>
          <w:rFonts w:ascii="Times New Roman" w:eastAsia="Arial" w:hAnsi="Times New Roman"/>
          <w:sz w:val="24"/>
          <w:szCs w:val="24"/>
        </w:rPr>
        <w:t xml:space="preserve"> após três dias da inoculação, caracterizada pela emissão de protusão da raiz primária &gt; 2 mm, onde os maiores índices de emergências foram do terceiro ao décimo dia.</w:t>
      </w:r>
    </w:p>
    <w:p w:rsidR="00553746" w:rsidRPr="002B40FC" w:rsidRDefault="00857659" w:rsidP="00460133">
      <w:pPr>
        <w:tabs>
          <w:tab w:val="left" w:pos="567"/>
        </w:tabs>
        <w:spacing w:after="0" w:line="360" w:lineRule="auto"/>
        <w:ind w:firstLine="567"/>
        <w:jc w:val="both"/>
        <w:rPr>
          <w:rFonts w:ascii="Times New Roman" w:eastAsia="Arial" w:hAnsi="Times New Roman"/>
          <w:sz w:val="24"/>
          <w:szCs w:val="24"/>
        </w:rPr>
      </w:pPr>
      <w:r w:rsidRPr="002B40FC">
        <w:rPr>
          <w:rFonts w:ascii="Times New Roman" w:eastAsia="Arial" w:hAnsi="Times New Roman"/>
          <w:sz w:val="24"/>
          <w:szCs w:val="24"/>
        </w:rPr>
        <w:t>A concentração de sais do meio MS influenciou significativamente a germinação, obteve-se a maior porcentagem em 50% de MS (Figura 1A). O mesmo comportamento foi notado para a variável par de folhas, comprimento radicular e parte aérea da plântula, porém, para massa seca, não houve diferença significativa nas con</w:t>
      </w:r>
      <w:r w:rsidR="005479E6" w:rsidRPr="002B40FC">
        <w:rPr>
          <w:rFonts w:ascii="Times New Roman" w:eastAsia="Arial" w:hAnsi="Times New Roman"/>
          <w:sz w:val="24"/>
          <w:szCs w:val="24"/>
        </w:rPr>
        <w:t>centrações dos sais (Figura 1B)</w:t>
      </w:r>
      <w:r w:rsidR="006867C5" w:rsidRPr="002B40FC">
        <w:rPr>
          <w:rFonts w:ascii="Times New Roman" w:eastAsia="Arial" w:hAnsi="Times New Roman"/>
          <w:sz w:val="24"/>
          <w:szCs w:val="24"/>
        </w:rPr>
        <w:t>.</w:t>
      </w:r>
    </w:p>
    <w:p w:rsidR="002D2835" w:rsidRPr="002B40FC" w:rsidRDefault="00A24DB2" w:rsidP="00460133">
      <w:pPr>
        <w:tabs>
          <w:tab w:val="left" w:pos="567"/>
        </w:tabs>
        <w:spacing w:after="0" w:line="360" w:lineRule="auto"/>
        <w:jc w:val="both"/>
        <w:rPr>
          <w:rFonts w:ascii="Times New Roman" w:eastAsia="Arial" w:hAnsi="Times New Roman"/>
          <w:sz w:val="24"/>
          <w:szCs w:val="24"/>
        </w:rPr>
      </w:pPr>
      <w:r w:rsidRPr="002B40FC">
        <w:rPr>
          <w:rFonts w:ascii="Times New Roman" w:eastAsia="Arial" w:hAnsi="Times New Roman"/>
          <w:noProof/>
          <w:sz w:val="24"/>
          <w:szCs w:val="24"/>
          <w:lang w:eastAsia="pt-BR"/>
        </w:rPr>
        <w:drawing>
          <wp:inline distT="0" distB="0" distL="0" distR="0">
            <wp:extent cx="5742394" cy="2108736"/>
            <wp:effectExtent l="0" t="0" r="0" b="635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 1.jpg"/>
                    <pic:cNvPicPr/>
                  </pic:nvPicPr>
                  <pic:blipFill rotWithShape="1">
                    <a:blip r:embed="rId8" cstate="print">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l="502" t="1629" r="579"/>
                    <a:stretch/>
                  </pic:blipFill>
                  <pic:spPr bwMode="auto">
                    <a:xfrm>
                      <a:off x="0" y="0"/>
                      <a:ext cx="5744335" cy="2109449"/>
                    </a:xfrm>
                    <a:prstGeom prst="rect">
                      <a:avLst/>
                    </a:prstGeom>
                    <a:ln>
                      <a:noFill/>
                    </a:ln>
                    <a:extLst>
                      <a:ext uri="{53640926-AAD7-44D8-BBD7-CCE9431645EC}">
                        <a14:shadowObscured xmlns:a14="http://schemas.microsoft.com/office/drawing/2010/main"/>
                      </a:ext>
                    </a:extLst>
                  </pic:spPr>
                </pic:pic>
              </a:graphicData>
            </a:graphic>
          </wp:inline>
        </w:drawing>
      </w:r>
    </w:p>
    <w:p w:rsidR="001C0E7D" w:rsidRPr="002B40FC" w:rsidRDefault="001C0E7D" w:rsidP="00460133">
      <w:pPr>
        <w:tabs>
          <w:tab w:val="left" w:pos="567"/>
        </w:tabs>
        <w:spacing w:after="0" w:line="360" w:lineRule="auto"/>
        <w:jc w:val="both"/>
        <w:rPr>
          <w:rFonts w:ascii="Times New Roman" w:eastAsia="Arial" w:hAnsi="Times New Roman"/>
          <w:b/>
          <w:sz w:val="24"/>
          <w:szCs w:val="24"/>
        </w:rPr>
        <w:sectPr w:rsidR="001C0E7D" w:rsidRPr="002B40FC" w:rsidSect="005E3B0A">
          <w:headerReference w:type="default" r:id="rId10"/>
          <w:footerReference w:type="default" r:id="rId11"/>
          <w:type w:val="continuous"/>
          <w:pgSz w:w="11906" w:h="16838"/>
          <w:pgMar w:top="1418" w:right="1418" w:bottom="1418" w:left="1418" w:header="708" w:footer="708" w:gutter="0"/>
          <w:lnNumType w:countBy="1" w:restart="continuous"/>
          <w:cols w:space="708"/>
          <w:docGrid w:linePitch="360"/>
        </w:sectPr>
      </w:pPr>
    </w:p>
    <w:p w:rsidR="00553746" w:rsidRDefault="0007095E" w:rsidP="00460133">
      <w:pPr>
        <w:tabs>
          <w:tab w:val="left" w:pos="567"/>
        </w:tabs>
        <w:spacing w:after="0" w:line="360" w:lineRule="auto"/>
        <w:jc w:val="both"/>
        <w:rPr>
          <w:rFonts w:ascii="Times New Roman" w:eastAsia="Arial" w:hAnsi="Times New Roman"/>
          <w:i/>
          <w:sz w:val="20"/>
          <w:szCs w:val="24"/>
        </w:rPr>
      </w:pPr>
      <w:r w:rsidRPr="00553746">
        <w:rPr>
          <w:rFonts w:ascii="Times New Roman" w:eastAsia="Arial" w:hAnsi="Times New Roman"/>
          <w:b/>
          <w:sz w:val="20"/>
          <w:szCs w:val="24"/>
        </w:rPr>
        <w:t xml:space="preserve">Figura 1. </w:t>
      </w:r>
      <w:r w:rsidRPr="00553746">
        <w:rPr>
          <w:rFonts w:ascii="Times New Roman" w:eastAsia="Arial" w:hAnsi="Times New Roman"/>
          <w:sz w:val="20"/>
          <w:szCs w:val="24"/>
        </w:rPr>
        <w:t xml:space="preserve">Porcentagem de germinação em relação a concentração dos sais de MS (A), número de par de folhas, comprimento radicular, parte aérea e massa seca (B) em </w:t>
      </w:r>
      <w:r w:rsidRPr="00553746">
        <w:rPr>
          <w:rFonts w:ascii="Times New Roman" w:eastAsia="Arial" w:hAnsi="Times New Roman"/>
          <w:i/>
          <w:sz w:val="20"/>
          <w:szCs w:val="24"/>
        </w:rPr>
        <w:t>Ochroma pyramidales.</w:t>
      </w:r>
    </w:p>
    <w:p w:rsidR="008329EC" w:rsidRPr="00553746" w:rsidRDefault="0007095E" w:rsidP="00460133">
      <w:pPr>
        <w:tabs>
          <w:tab w:val="left" w:pos="567"/>
        </w:tabs>
        <w:spacing w:line="360" w:lineRule="auto"/>
        <w:jc w:val="both"/>
        <w:rPr>
          <w:rFonts w:ascii="Times New Roman" w:eastAsia="Arial" w:hAnsi="Times New Roman"/>
          <w:i/>
          <w:sz w:val="20"/>
          <w:szCs w:val="24"/>
        </w:rPr>
      </w:pPr>
      <w:r w:rsidRPr="00553746">
        <w:rPr>
          <w:rFonts w:ascii="Times New Roman" w:eastAsia="Arial" w:hAnsi="Times New Roman"/>
          <w:sz w:val="20"/>
          <w:szCs w:val="24"/>
        </w:rPr>
        <w:t>** As médias seguidas de mesma letra não diferem entre si pelo Teste Tukey a 1% de probabilidade.</w:t>
      </w:r>
    </w:p>
    <w:p w:rsidR="00B3624E" w:rsidRPr="002B40FC" w:rsidRDefault="008329EC" w:rsidP="00460133">
      <w:pPr>
        <w:tabs>
          <w:tab w:val="left" w:pos="567"/>
        </w:tabs>
        <w:spacing w:line="360" w:lineRule="auto"/>
        <w:jc w:val="both"/>
        <w:rPr>
          <w:rFonts w:ascii="Times New Roman" w:eastAsia="Arial" w:hAnsi="Times New Roman"/>
          <w:sz w:val="24"/>
          <w:szCs w:val="24"/>
        </w:rPr>
      </w:pPr>
      <w:r w:rsidRPr="002B40FC">
        <w:rPr>
          <w:rFonts w:ascii="Times New Roman" w:hAnsi="Times New Roman"/>
          <w:color w:val="000000"/>
          <w:sz w:val="24"/>
          <w:szCs w:val="24"/>
        </w:rPr>
        <w:tab/>
      </w:r>
      <w:r w:rsidR="0007095E" w:rsidRPr="002B40FC">
        <w:rPr>
          <w:rFonts w:ascii="Times New Roman" w:eastAsia="Arial" w:hAnsi="Times New Roman"/>
          <w:sz w:val="24"/>
          <w:szCs w:val="24"/>
        </w:rPr>
        <w:t>Resultado semelhante foi obtido por Araújo et al., (2015), trabalhando com gloxínia eles perceberam que o meio MS 50%, resultou nas melhores médias para número de folhas e brotos. Reis et al., (2015) observaram que a maior concentração de sais no meio de cultura interferiu no potencial osmótico e, consequentemente, na disponibilidade de água para o processo de embebição da semente durante a germinação, o que afetou diretamente o número de par de folhas, comprimento radicular e massa seca.</w:t>
      </w:r>
      <w:r w:rsidR="00B3624E" w:rsidRPr="002B40FC">
        <w:rPr>
          <w:rFonts w:ascii="Times New Roman" w:eastAsia="Arial" w:hAnsi="Times New Roman"/>
          <w:sz w:val="24"/>
          <w:szCs w:val="24"/>
        </w:rPr>
        <w:t xml:space="preserve"> </w:t>
      </w:r>
    </w:p>
    <w:p w:rsidR="00271145" w:rsidRPr="002B40FC" w:rsidRDefault="00B3624E" w:rsidP="0019202F">
      <w:pPr>
        <w:autoSpaceDE w:val="0"/>
        <w:autoSpaceDN w:val="0"/>
        <w:adjustRightInd w:val="0"/>
        <w:spacing w:after="0" w:line="360" w:lineRule="auto"/>
        <w:ind w:firstLine="567"/>
        <w:jc w:val="both"/>
        <w:rPr>
          <w:rFonts w:ascii="Times New Roman" w:eastAsia="Arial" w:hAnsi="Times New Roman"/>
          <w:sz w:val="24"/>
          <w:szCs w:val="24"/>
        </w:rPr>
      </w:pPr>
      <w:r w:rsidRPr="002B40FC">
        <w:rPr>
          <w:rFonts w:ascii="Times New Roman" w:eastAsia="Arial" w:hAnsi="Times New Roman"/>
          <w:sz w:val="24"/>
          <w:szCs w:val="24"/>
        </w:rPr>
        <w:t>Com relação ao efeito da sacarose, independentemente da concentração de sais do meio, pode-se observar que o aumento de sacarose não favoreceu o aumento no par de folhas,</w:t>
      </w:r>
      <w:r w:rsidR="0019202F">
        <w:rPr>
          <w:rFonts w:ascii="Times New Roman" w:eastAsia="Arial" w:hAnsi="Times New Roman"/>
          <w:sz w:val="24"/>
          <w:szCs w:val="24"/>
        </w:rPr>
        <w:t xml:space="preserve"> </w:t>
      </w:r>
      <w:r w:rsidRPr="002B40FC">
        <w:rPr>
          <w:rFonts w:ascii="Times New Roman" w:eastAsia="Arial" w:hAnsi="Times New Roman"/>
          <w:sz w:val="24"/>
          <w:szCs w:val="24"/>
        </w:rPr>
        <w:lastRenderedPageBreak/>
        <w:t xml:space="preserve">comprimento radicular e germinação da semente (Figura 2A, 2B e </w:t>
      </w:r>
      <w:r w:rsidR="00271145" w:rsidRPr="002B40FC">
        <w:rPr>
          <w:rFonts w:ascii="Times New Roman" w:eastAsia="Arial" w:hAnsi="Times New Roman"/>
          <w:sz w:val="24"/>
          <w:szCs w:val="24"/>
        </w:rPr>
        <w:t>3B</w:t>
      </w:r>
      <w:r w:rsidRPr="002B40FC">
        <w:rPr>
          <w:rFonts w:ascii="Times New Roman" w:eastAsia="Arial" w:hAnsi="Times New Roman"/>
          <w:sz w:val="24"/>
          <w:szCs w:val="24"/>
        </w:rPr>
        <w:t>).</w:t>
      </w:r>
      <w:r w:rsidR="0019202F">
        <w:rPr>
          <w:rFonts w:ascii="Times New Roman" w:eastAsia="Arial" w:hAnsi="Times New Roman"/>
          <w:noProof/>
          <w:sz w:val="24"/>
          <w:szCs w:val="24"/>
          <w:lang w:eastAsia="pt-BR"/>
        </w:rPr>
        <w:drawing>
          <wp:inline distT="0" distB="0" distL="0" distR="0">
            <wp:extent cx="5759450" cy="2338794"/>
            <wp:effectExtent l="0" t="0" r="0" b="444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 2.jpg"/>
                    <pic:cNvPicPr/>
                  </pic:nvPicPr>
                  <pic:blipFill rotWithShape="1">
                    <a:blip r:embed="rId12" cstate="print">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rcRect t="1230" b="-1"/>
                    <a:stretch/>
                  </pic:blipFill>
                  <pic:spPr bwMode="auto">
                    <a:xfrm>
                      <a:off x="0" y="0"/>
                      <a:ext cx="5759450" cy="2338794"/>
                    </a:xfrm>
                    <a:prstGeom prst="rect">
                      <a:avLst/>
                    </a:prstGeom>
                    <a:ln>
                      <a:noFill/>
                    </a:ln>
                    <a:extLst>
                      <a:ext uri="{53640926-AAD7-44D8-BBD7-CCE9431645EC}">
                        <a14:shadowObscured xmlns:a14="http://schemas.microsoft.com/office/drawing/2010/main"/>
                      </a:ext>
                    </a:extLst>
                  </pic:spPr>
                </pic:pic>
              </a:graphicData>
            </a:graphic>
          </wp:inline>
        </w:drawing>
      </w:r>
    </w:p>
    <w:p w:rsidR="0007095E" w:rsidRPr="00863862" w:rsidRDefault="0007095E" w:rsidP="00460133">
      <w:pPr>
        <w:autoSpaceDE w:val="0"/>
        <w:autoSpaceDN w:val="0"/>
        <w:adjustRightInd w:val="0"/>
        <w:spacing w:after="0" w:line="360" w:lineRule="auto"/>
        <w:jc w:val="both"/>
        <w:rPr>
          <w:rFonts w:ascii="Times New Roman" w:eastAsia="Arial" w:hAnsi="Times New Roman"/>
          <w:b/>
          <w:sz w:val="20"/>
          <w:szCs w:val="24"/>
        </w:rPr>
      </w:pPr>
      <w:r w:rsidRPr="00863862">
        <w:rPr>
          <w:rFonts w:ascii="Times New Roman" w:eastAsia="Arial" w:hAnsi="Times New Roman"/>
          <w:b/>
          <w:sz w:val="20"/>
          <w:szCs w:val="24"/>
        </w:rPr>
        <w:t>Figura 2.</w:t>
      </w:r>
      <w:r w:rsidRPr="00863862">
        <w:rPr>
          <w:rFonts w:ascii="Times New Roman" w:eastAsia="Arial" w:hAnsi="Times New Roman"/>
          <w:sz w:val="20"/>
          <w:szCs w:val="24"/>
        </w:rPr>
        <w:t xml:space="preserve"> Número de par de folhas (A), comprimento radicular (B</w:t>
      </w:r>
      <w:r w:rsidR="00271145" w:rsidRPr="00863862">
        <w:rPr>
          <w:rFonts w:ascii="Times New Roman" w:eastAsia="Arial" w:hAnsi="Times New Roman"/>
          <w:sz w:val="20"/>
          <w:szCs w:val="24"/>
        </w:rPr>
        <w:t xml:space="preserve">) </w:t>
      </w:r>
      <w:r w:rsidRPr="00863862">
        <w:rPr>
          <w:rFonts w:ascii="Times New Roman" w:eastAsia="Arial" w:hAnsi="Times New Roman"/>
          <w:sz w:val="20"/>
          <w:szCs w:val="24"/>
        </w:rPr>
        <w:t>em função das concentrações de sacarose.</w:t>
      </w:r>
    </w:p>
    <w:p w:rsidR="0007095E" w:rsidRPr="00863862" w:rsidRDefault="0007095E" w:rsidP="00460133">
      <w:pPr>
        <w:autoSpaceDE w:val="0"/>
        <w:autoSpaceDN w:val="0"/>
        <w:adjustRightInd w:val="0"/>
        <w:spacing w:after="0" w:line="360" w:lineRule="auto"/>
        <w:jc w:val="both"/>
        <w:rPr>
          <w:rFonts w:ascii="Times New Roman" w:eastAsia="Arial" w:hAnsi="Times New Roman"/>
          <w:sz w:val="20"/>
          <w:szCs w:val="24"/>
        </w:rPr>
      </w:pPr>
      <w:r w:rsidRPr="00863862">
        <w:rPr>
          <w:rFonts w:ascii="Times New Roman" w:eastAsia="Arial" w:hAnsi="Times New Roman"/>
          <w:sz w:val="20"/>
          <w:szCs w:val="24"/>
        </w:rPr>
        <w:t>**As médias seguidas de mesma letra não diferem entre si pelo Teste Tukey a 1% de probabilidade</w:t>
      </w:r>
      <w:r w:rsidR="008329EC" w:rsidRPr="00863862">
        <w:rPr>
          <w:rFonts w:ascii="Times New Roman" w:eastAsia="Arial" w:hAnsi="Times New Roman"/>
          <w:sz w:val="20"/>
          <w:szCs w:val="24"/>
        </w:rPr>
        <w:t>.</w:t>
      </w:r>
      <w:r w:rsidRPr="00863862">
        <w:rPr>
          <w:rFonts w:ascii="Times New Roman" w:eastAsia="Arial" w:hAnsi="Times New Roman"/>
          <w:sz w:val="20"/>
          <w:szCs w:val="24"/>
        </w:rPr>
        <w:t xml:space="preserve"> </w:t>
      </w:r>
    </w:p>
    <w:p w:rsidR="0019202F" w:rsidRDefault="0007095E" w:rsidP="00460133">
      <w:pPr>
        <w:autoSpaceDE w:val="0"/>
        <w:autoSpaceDN w:val="0"/>
        <w:adjustRightInd w:val="0"/>
        <w:spacing w:line="360" w:lineRule="auto"/>
        <w:jc w:val="both"/>
        <w:rPr>
          <w:rFonts w:ascii="Times New Roman" w:eastAsia="Arial" w:hAnsi="Times New Roman"/>
          <w:sz w:val="20"/>
          <w:szCs w:val="24"/>
        </w:rPr>
      </w:pPr>
      <w:r w:rsidRPr="00863862">
        <w:rPr>
          <w:rFonts w:ascii="Times New Roman" w:eastAsia="Arial" w:hAnsi="Times New Roman"/>
          <w:sz w:val="20"/>
          <w:szCs w:val="24"/>
        </w:rPr>
        <w:t>*As médias seguidas de mesma letra não diferem entre si pelo Teste Tukey a 5% de probabilidade</w:t>
      </w:r>
      <w:r w:rsidR="008329EC" w:rsidRPr="00863862">
        <w:rPr>
          <w:rFonts w:ascii="Times New Roman" w:eastAsia="Arial" w:hAnsi="Times New Roman"/>
          <w:sz w:val="20"/>
          <w:szCs w:val="24"/>
        </w:rPr>
        <w:t>.</w:t>
      </w:r>
    </w:p>
    <w:p w:rsidR="00863862" w:rsidRPr="0019202F" w:rsidRDefault="0019202F" w:rsidP="0019202F">
      <w:pPr>
        <w:autoSpaceDE w:val="0"/>
        <w:autoSpaceDN w:val="0"/>
        <w:adjustRightInd w:val="0"/>
        <w:spacing w:after="0" w:line="360" w:lineRule="auto"/>
        <w:ind w:firstLine="567"/>
        <w:jc w:val="both"/>
        <w:rPr>
          <w:rFonts w:ascii="Times New Roman" w:eastAsia="Arial" w:hAnsi="Times New Roman"/>
          <w:sz w:val="24"/>
          <w:szCs w:val="24"/>
        </w:rPr>
      </w:pPr>
      <w:r w:rsidRPr="002B40FC">
        <w:rPr>
          <w:rFonts w:ascii="Times New Roman" w:eastAsia="Arial" w:hAnsi="Times New Roman"/>
          <w:sz w:val="24"/>
          <w:szCs w:val="24"/>
        </w:rPr>
        <w:t>Para massa seca, o aumento na concentração de sacarose proporcionou consequentemente, o aumento na massa seca (Figura 3A).</w:t>
      </w:r>
    </w:p>
    <w:p w:rsidR="003F6D76" w:rsidRPr="002B40FC" w:rsidRDefault="00A24DB2" w:rsidP="00460133">
      <w:pPr>
        <w:autoSpaceDE w:val="0"/>
        <w:autoSpaceDN w:val="0"/>
        <w:adjustRightInd w:val="0"/>
        <w:spacing w:after="0" w:line="360" w:lineRule="auto"/>
        <w:jc w:val="both"/>
        <w:rPr>
          <w:rFonts w:ascii="Times New Roman" w:eastAsia="Arial" w:hAnsi="Times New Roman"/>
          <w:b/>
          <w:sz w:val="24"/>
          <w:szCs w:val="24"/>
        </w:rPr>
      </w:pPr>
      <w:r w:rsidRPr="002B40FC">
        <w:rPr>
          <w:rFonts w:ascii="Times New Roman" w:eastAsia="Arial" w:hAnsi="Times New Roman"/>
          <w:b/>
          <w:noProof/>
          <w:sz w:val="24"/>
          <w:szCs w:val="24"/>
          <w:lang w:eastAsia="pt-BR"/>
        </w:rPr>
        <w:drawing>
          <wp:inline distT="0" distB="0" distL="0" distR="0">
            <wp:extent cx="5715701" cy="2259791"/>
            <wp:effectExtent l="0" t="0" r="0" b="762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 3.jpg"/>
                    <pic:cNvPicPr/>
                  </pic:nvPicPr>
                  <pic:blipFill rotWithShape="1">
                    <a:blip r:embed="rId14" cstate="print">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rcRect l="711" t="2039" b="1419"/>
                    <a:stretch/>
                  </pic:blipFill>
                  <pic:spPr bwMode="auto">
                    <a:xfrm>
                      <a:off x="0" y="0"/>
                      <a:ext cx="5716905" cy="2260267"/>
                    </a:xfrm>
                    <a:prstGeom prst="rect">
                      <a:avLst/>
                    </a:prstGeom>
                    <a:ln>
                      <a:noFill/>
                    </a:ln>
                    <a:extLst>
                      <a:ext uri="{53640926-AAD7-44D8-BBD7-CCE9431645EC}">
                        <a14:shadowObscured xmlns:a14="http://schemas.microsoft.com/office/drawing/2010/main"/>
                      </a:ext>
                    </a:extLst>
                  </pic:spPr>
                </pic:pic>
              </a:graphicData>
            </a:graphic>
          </wp:inline>
        </w:drawing>
      </w:r>
    </w:p>
    <w:p w:rsidR="00271145" w:rsidRPr="00863862" w:rsidRDefault="00271145" w:rsidP="00460133">
      <w:pPr>
        <w:autoSpaceDE w:val="0"/>
        <w:autoSpaceDN w:val="0"/>
        <w:adjustRightInd w:val="0"/>
        <w:spacing w:after="0" w:line="360" w:lineRule="auto"/>
        <w:jc w:val="both"/>
        <w:rPr>
          <w:rFonts w:ascii="Times New Roman" w:eastAsia="Arial" w:hAnsi="Times New Roman"/>
          <w:b/>
          <w:sz w:val="20"/>
          <w:szCs w:val="24"/>
        </w:rPr>
      </w:pPr>
      <w:r w:rsidRPr="00863862">
        <w:rPr>
          <w:rFonts w:ascii="Times New Roman" w:eastAsia="Arial" w:hAnsi="Times New Roman"/>
          <w:b/>
          <w:sz w:val="20"/>
          <w:szCs w:val="24"/>
        </w:rPr>
        <w:t>Figura 3.</w:t>
      </w:r>
      <w:r w:rsidRPr="00863862">
        <w:rPr>
          <w:rFonts w:ascii="Times New Roman" w:eastAsia="Arial" w:hAnsi="Times New Roman"/>
          <w:sz w:val="20"/>
          <w:szCs w:val="24"/>
        </w:rPr>
        <w:t xml:space="preserve"> Massa seca (A) e porcentagem de germinação (B) em função das concentrações de sacarose.</w:t>
      </w:r>
    </w:p>
    <w:p w:rsidR="00271145" w:rsidRPr="00863862" w:rsidRDefault="00271145" w:rsidP="00460133">
      <w:pPr>
        <w:autoSpaceDE w:val="0"/>
        <w:autoSpaceDN w:val="0"/>
        <w:adjustRightInd w:val="0"/>
        <w:spacing w:after="0" w:line="360" w:lineRule="auto"/>
        <w:jc w:val="both"/>
        <w:rPr>
          <w:rFonts w:ascii="Times New Roman" w:eastAsia="Arial" w:hAnsi="Times New Roman"/>
          <w:sz w:val="20"/>
          <w:szCs w:val="24"/>
        </w:rPr>
      </w:pPr>
      <w:r w:rsidRPr="00863862">
        <w:rPr>
          <w:rFonts w:ascii="Times New Roman" w:eastAsia="Arial" w:hAnsi="Times New Roman"/>
          <w:sz w:val="20"/>
          <w:szCs w:val="24"/>
        </w:rPr>
        <w:t xml:space="preserve">**As médias seguidas de mesma letra não diferem entre si pelo Teste Tukey a 1% de probabilidade </w:t>
      </w:r>
    </w:p>
    <w:p w:rsidR="00A24DB2" w:rsidRPr="00863862" w:rsidRDefault="00271145" w:rsidP="00460133">
      <w:pPr>
        <w:autoSpaceDE w:val="0"/>
        <w:autoSpaceDN w:val="0"/>
        <w:adjustRightInd w:val="0"/>
        <w:spacing w:line="360" w:lineRule="auto"/>
        <w:jc w:val="both"/>
        <w:rPr>
          <w:rFonts w:ascii="Times New Roman" w:eastAsia="Arial" w:hAnsi="Times New Roman"/>
          <w:sz w:val="20"/>
          <w:szCs w:val="24"/>
        </w:rPr>
      </w:pPr>
      <w:r w:rsidRPr="00863862">
        <w:rPr>
          <w:rFonts w:ascii="Times New Roman" w:eastAsia="Arial" w:hAnsi="Times New Roman"/>
          <w:sz w:val="20"/>
          <w:szCs w:val="24"/>
        </w:rPr>
        <w:t>*As médias seguidas de mesma letra não diferem entre si pelo Teste Tukey a 5% de probabilidade.</w:t>
      </w:r>
    </w:p>
    <w:p w:rsidR="006466AB" w:rsidRPr="002B40FC" w:rsidRDefault="006466AB" w:rsidP="00460133">
      <w:pPr>
        <w:autoSpaceDE w:val="0"/>
        <w:autoSpaceDN w:val="0"/>
        <w:adjustRightInd w:val="0"/>
        <w:spacing w:line="360" w:lineRule="auto"/>
        <w:ind w:firstLine="567"/>
        <w:jc w:val="both"/>
        <w:rPr>
          <w:rFonts w:ascii="Times New Roman" w:eastAsia="Arial" w:hAnsi="Times New Roman"/>
          <w:sz w:val="24"/>
          <w:szCs w:val="24"/>
        </w:rPr>
      </w:pPr>
      <w:r w:rsidRPr="002B40FC">
        <w:rPr>
          <w:rFonts w:ascii="Times New Roman" w:eastAsia="Arial" w:hAnsi="Times New Roman"/>
          <w:sz w:val="24"/>
          <w:szCs w:val="24"/>
        </w:rPr>
        <w:t>A sacarose é</w:t>
      </w:r>
      <w:r w:rsidRPr="002B40FC">
        <w:rPr>
          <w:rFonts w:ascii="Times New Roman" w:hAnsi="Times New Roman"/>
          <w:sz w:val="24"/>
          <w:szCs w:val="24"/>
        </w:rPr>
        <w:t xml:space="preserve"> o carboidrato usado para substituir o carbono que a planta fixa da atmosfera pela fotossíntese (MONFORT et al., 2011), porém, quando o explante usado, trata-se da semente, esta, já possui material reserva, que irá nutrir o embrião nessa fase inicial de germinação da semente.</w:t>
      </w:r>
    </w:p>
    <w:p w:rsidR="006466AB" w:rsidRPr="002B40FC" w:rsidRDefault="006466AB" w:rsidP="00460133">
      <w:pPr>
        <w:tabs>
          <w:tab w:val="left" w:pos="567"/>
        </w:tabs>
        <w:autoSpaceDE w:val="0"/>
        <w:autoSpaceDN w:val="0"/>
        <w:adjustRightInd w:val="0"/>
        <w:spacing w:after="0" w:line="360" w:lineRule="auto"/>
        <w:ind w:firstLine="567"/>
        <w:jc w:val="both"/>
        <w:rPr>
          <w:rFonts w:ascii="Times New Roman" w:eastAsia="Arial" w:hAnsi="Times New Roman"/>
          <w:sz w:val="24"/>
          <w:szCs w:val="24"/>
        </w:rPr>
      </w:pPr>
      <w:r w:rsidRPr="002B40FC">
        <w:rPr>
          <w:rFonts w:ascii="Times New Roman" w:eastAsia="Arial" w:hAnsi="Times New Roman"/>
          <w:sz w:val="24"/>
          <w:szCs w:val="24"/>
        </w:rPr>
        <w:t xml:space="preserve">Os resultados do trabalho, provavelmente, devem-se ao fato de que a semente de pau-de-balsa, já possua em sua reserva nutritiva um teor de sacarose, que lhe permitiu a emissão da </w:t>
      </w:r>
      <w:r w:rsidRPr="002B40FC">
        <w:rPr>
          <w:rFonts w:ascii="Times New Roman" w:eastAsia="Arial" w:hAnsi="Times New Roman"/>
          <w:sz w:val="24"/>
          <w:szCs w:val="24"/>
        </w:rPr>
        <w:lastRenderedPageBreak/>
        <w:t>plúmula e radícula e consequentemente, melhor desenvolvimento da plântula em concentrações menores de sacarose, no entanto, a maior disponibilidade do elemento no meio extracelular pode ter provocado maior perda de água devido à pressão osmótica exercida sobre a semente, impedindo a embebição necessária para a germinação e consequentemente bons resultados para as demais variáveis (REIS et al., 2015).</w:t>
      </w:r>
    </w:p>
    <w:p w:rsidR="006466AB" w:rsidRPr="002B40FC" w:rsidRDefault="006466AB" w:rsidP="00460133">
      <w:pPr>
        <w:tabs>
          <w:tab w:val="left" w:pos="567"/>
        </w:tabs>
        <w:autoSpaceDE w:val="0"/>
        <w:autoSpaceDN w:val="0"/>
        <w:adjustRightInd w:val="0"/>
        <w:spacing w:after="0" w:line="360" w:lineRule="auto"/>
        <w:ind w:firstLine="567"/>
        <w:jc w:val="both"/>
        <w:rPr>
          <w:rFonts w:ascii="Times New Roman" w:eastAsia="Arial" w:hAnsi="Times New Roman"/>
          <w:sz w:val="24"/>
          <w:szCs w:val="24"/>
        </w:rPr>
      </w:pPr>
      <w:r w:rsidRPr="002B40FC">
        <w:rPr>
          <w:rFonts w:ascii="Times New Roman" w:eastAsia="Arial" w:hAnsi="Times New Roman"/>
          <w:sz w:val="24"/>
          <w:szCs w:val="24"/>
        </w:rPr>
        <w:t>Analisando diferentes concentrações de sacarose (0, 15 e 30 g.L</w:t>
      </w:r>
      <w:r w:rsidRPr="002B40FC">
        <w:rPr>
          <w:rFonts w:ascii="Times New Roman" w:eastAsia="Arial" w:hAnsi="Times New Roman"/>
          <w:sz w:val="24"/>
          <w:szCs w:val="24"/>
          <w:vertAlign w:val="superscript"/>
        </w:rPr>
        <w:t>-1</w:t>
      </w:r>
      <w:r w:rsidRPr="002B40FC">
        <w:rPr>
          <w:rFonts w:ascii="Times New Roman" w:eastAsia="Arial" w:hAnsi="Times New Roman"/>
          <w:sz w:val="24"/>
          <w:szCs w:val="24"/>
        </w:rPr>
        <w:t xml:space="preserve">), no crescimento </w:t>
      </w:r>
      <w:r w:rsidRPr="002B40FC">
        <w:rPr>
          <w:rFonts w:ascii="Times New Roman" w:eastAsia="Arial" w:hAnsi="Times New Roman"/>
          <w:i/>
          <w:sz w:val="24"/>
          <w:szCs w:val="24"/>
        </w:rPr>
        <w:t>in vitro</w:t>
      </w:r>
      <w:r w:rsidRPr="002B40FC">
        <w:rPr>
          <w:rFonts w:ascii="Times New Roman" w:eastAsia="Arial" w:hAnsi="Times New Roman"/>
          <w:sz w:val="24"/>
          <w:szCs w:val="24"/>
        </w:rPr>
        <w:t xml:space="preserve"> de plântulas de mirtilo (</w:t>
      </w:r>
      <w:r w:rsidRPr="002B40FC">
        <w:rPr>
          <w:rFonts w:ascii="Times New Roman" w:hAnsi="Times New Roman"/>
          <w:i/>
          <w:sz w:val="24"/>
          <w:szCs w:val="24"/>
          <w:shd w:val="clear" w:color="auto" w:fill="FFFFFF"/>
        </w:rPr>
        <w:t>Vaccinium myrtillum</w:t>
      </w:r>
      <w:r w:rsidRPr="002B40FC">
        <w:rPr>
          <w:rFonts w:ascii="Times New Roman" w:eastAsia="Arial" w:hAnsi="Times New Roman"/>
          <w:sz w:val="24"/>
          <w:szCs w:val="24"/>
        </w:rPr>
        <w:t xml:space="preserve">), Damiani </w:t>
      </w:r>
      <w:r w:rsidR="0019202F">
        <w:rPr>
          <w:rFonts w:ascii="Times New Roman" w:eastAsia="Arial" w:hAnsi="Times New Roman"/>
          <w:sz w:val="24"/>
          <w:szCs w:val="24"/>
        </w:rPr>
        <w:t>e</w:t>
      </w:r>
      <w:r w:rsidRPr="002B40FC">
        <w:rPr>
          <w:rFonts w:ascii="Times New Roman" w:eastAsia="Arial" w:hAnsi="Times New Roman"/>
          <w:sz w:val="24"/>
          <w:szCs w:val="24"/>
        </w:rPr>
        <w:t xml:space="preserve"> Schuch (2009) concluíram que as maiores porcentagens de enraizamento, ocorreram em meio sem a adição de sacarose. Essas observações são confirmadas pelos resultados obtidos no presente trabalho em todas as variáveis analisadas. Por outro lado, estes resultados discordam, daqueles encontrados por Monfort et al., (2015), que trabalhando com </w:t>
      </w:r>
      <w:r w:rsidRPr="002B40FC">
        <w:rPr>
          <w:rFonts w:ascii="Times New Roman" w:eastAsia="Arial" w:hAnsi="Times New Roman"/>
          <w:i/>
          <w:sz w:val="24"/>
          <w:szCs w:val="24"/>
        </w:rPr>
        <w:t>Ocimum selloi,</w:t>
      </w:r>
      <w:r w:rsidRPr="002B40FC">
        <w:rPr>
          <w:rFonts w:ascii="Times New Roman" w:eastAsia="Arial" w:hAnsi="Times New Roman"/>
          <w:sz w:val="24"/>
          <w:szCs w:val="24"/>
        </w:rPr>
        <w:t xml:space="preserve"> verificaram efeito negativo sobre o número, comprimento, matéria seca da brotação e número de raízes na ausência de sacarose.</w:t>
      </w:r>
    </w:p>
    <w:p w:rsidR="006466AB" w:rsidRPr="002B40FC" w:rsidRDefault="006466AB" w:rsidP="00460133">
      <w:pPr>
        <w:autoSpaceDE w:val="0"/>
        <w:autoSpaceDN w:val="0"/>
        <w:adjustRightInd w:val="0"/>
        <w:spacing w:after="0" w:line="360" w:lineRule="auto"/>
        <w:ind w:firstLine="567"/>
        <w:jc w:val="both"/>
        <w:rPr>
          <w:rFonts w:ascii="Times New Roman" w:eastAsia="Arial" w:hAnsi="Times New Roman"/>
          <w:sz w:val="24"/>
          <w:szCs w:val="24"/>
        </w:rPr>
      </w:pPr>
      <w:r w:rsidRPr="002B40FC">
        <w:rPr>
          <w:rFonts w:ascii="Times New Roman" w:eastAsia="Arial" w:hAnsi="Times New Roman"/>
          <w:sz w:val="24"/>
          <w:szCs w:val="24"/>
        </w:rPr>
        <w:t>Para massa seca, o maior peso foi observado nas concentrações 15, 20 e 25 g.L</w:t>
      </w:r>
      <w:r w:rsidRPr="002B40FC">
        <w:rPr>
          <w:rFonts w:ascii="Times New Roman" w:eastAsia="Arial" w:hAnsi="Times New Roman"/>
          <w:sz w:val="24"/>
          <w:szCs w:val="24"/>
          <w:vertAlign w:val="superscript"/>
        </w:rPr>
        <w:t>-1</w:t>
      </w:r>
      <w:r w:rsidRPr="002B40FC">
        <w:rPr>
          <w:rFonts w:ascii="Times New Roman" w:eastAsia="Arial" w:hAnsi="Times New Roman"/>
          <w:sz w:val="24"/>
          <w:szCs w:val="24"/>
        </w:rPr>
        <w:t xml:space="preserve"> respectivamente e o menor na concentração de 0 g.L</w:t>
      </w:r>
      <w:r w:rsidRPr="002B40FC">
        <w:rPr>
          <w:rFonts w:ascii="Times New Roman" w:eastAsia="Arial" w:hAnsi="Times New Roman"/>
          <w:sz w:val="24"/>
          <w:szCs w:val="24"/>
          <w:vertAlign w:val="superscript"/>
        </w:rPr>
        <w:t>-1</w:t>
      </w:r>
      <w:r w:rsidRPr="002B40FC">
        <w:rPr>
          <w:rFonts w:ascii="Times New Roman" w:eastAsia="Arial" w:hAnsi="Times New Roman"/>
          <w:sz w:val="24"/>
          <w:szCs w:val="24"/>
        </w:rPr>
        <w:t xml:space="preserve">, o que demonstra comportamento linear dessa variável na regressão (Figura </w:t>
      </w:r>
      <w:r w:rsidR="00FD3645" w:rsidRPr="002B40FC">
        <w:rPr>
          <w:rFonts w:ascii="Times New Roman" w:eastAsia="Arial" w:hAnsi="Times New Roman"/>
          <w:sz w:val="24"/>
          <w:szCs w:val="24"/>
        </w:rPr>
        <w:t>3A</w:t>
      </w:r>
      <w:r w:rsidRPr="002B40FC">
        <w:rPr>
          <w:rFonts w:ascii="Times New Roman" w:eastAsia="Arial" w:hAnsi="Times New Roman"/>
          <w:sz w:val="24"/>
          <w:szCs w:val="24"/>
        </w:rPr>
        <w:t>).</w:t>
      </w:r>
    </w:p>
    <w:p w:rsidR="000630E8" w:rsidRPr="002B40FC" w:rsidRDefault="006466AB" w:rsidP="00460133">
      <w:pPr>
        <w:autoSpaceDE w:val="0"/>
        <w:autoSpaceDN w:val="0"/>
        <w:adjustRightInd w:val="0"/>
        <w:spacing w:line="360" w:lineRule="auto"/>
        <w:ind w:firstLine="567"/>
        <w:jc w:val="both"/>
        <w:rPr>
          <w:rFonts w:ascii="Times New Roman" w:eastAsia="Arial" w:hAnsi="Times New Roman"/>
          <w:b/>
          <w:sz w:val="24"/>
          <w:szCs w:val="24"/>
        </w:rPr>
      </w:pPr>
      <w:r w:rsidRPr="002B40FC">
        <w:rPr>
          <w:rFonts w:ascii="Times New Roman" w:eastAsia="Arial" w:hAnsi="Times New Roman"/>
          <w:sz w:val="24"/>
          <w:szCs w:val="24"/>
        </w:rPr>
        <w:t>O efeito das concentrações de sacarose no comprimento da parte aérea foi dependente das concentrações do meio MS, sendo assim, necessário a realização de desdobramento. Ao avaliar a concentração do meio dentro de cada concentração de sacarose, notou-se superioridade do meio 50%, porém, o comportamento é diferente para cada concentração, onde com 0 g.L</w:t>
      </w:r>
      <w:r w:rsidRPr="002B40FC">
        <w:rPr>
          <w:rFonts w:ascii="Times New Roman" w:eastAsia="Arial" w:hAnsi="Times New Roman"/>
          <w:sz w:val="24"/>
          <w:szCs w:val="24"/>
          <w:vertAlign w:val="superscript"/>
        </w:rPr>
        <w:t>-1</w:t>
      </w:r>
      <w:r w:rsidRPr="002B40FC">
        <w:rPr>
          <w:rFonts w:ascii="Times New Roman" w:eastAsia="Arial" w:hAnsi="Times New Roman"/>
          <w:sz w:val="24"/>
          <w:szCs w:val="24"/>
        </w:rPr>
        <w:t xml:space="preserve"> de sacarose teve o maior comprimento da parte aérea, com 25 g.L</w:t>
      </w:r>
      <w:r w:rsidRPr="002B40FC">
        <w:rPr>
          <w:rFonts w:ascii="Times New Roman" w:eastAsia="Arial" w:hAnsi="Times New Roman"/>
          <w:sz w:val="24"/>
          <w:szCs w:val="24"/>
          <w:vertAlign w:val="superscript"/>
        </w:rPr>
        <w:t>-1</w:t>
      </w:r>
      <w:r w:rsidRPr="002B40FC">
        <w:rPr>
          <w:rFonts w:ascii="Times New Roman" w:eastAsia="Arial" w:hAnsi="Times New Roman"/>
          <w:sz w:val="24"/>
          <w:szCs w:val="24"/>
        </w:rPr>
        <w:t xml:space="preserve"> o menor (Tabela 1). </w:t>
      </w:r>
    </w:p>
    <w:p w:rsidR="00A305F5" w:rsidRPr="002B40FC" w:rsidRDefault="006466AB" w:rsidP="00460133">
      <w:pPr>
        <w:autoSpaceDE w:val="0"/>
        <w:autoSpaceDN w:val="0"/>
        <w:adjustRightInd w:val="0"/>
        <w:spacing w:line="360" w:lineRule="auto"/>
        <w:jc w:val="both"/>
        <w:rPr>
          <w:rFonts w:ascii="Times New Roman" w:eastAsia="Arial" w:hAnsi="Times New Roman"/>
          <w:sz w:val="24"/>
          <w:szCs w:val="24"/>
        </w:rPr>
      </w:pPr>
      <w:r w:rsidRPr="002B40FC">
        <w:rPr>
          <w:rFonts w:ascii="Times New Roman" w:eastAsia="Arial" w:hAnsi="Times New Roman"/>
          <w:b/>
          <w:sz w:val="24"/>
          <w:szCs w:val="24"/>
        </w:rPr>
        <w:t xml:space="preserve">Tabela 1 </w:t>
      </w:r>
      <w:r w:rsidRPr="002B40FC">
        <w:rPr>
          <w:rFonts w:ascii="Times New Roman" w:eastAsia="Arial" w:hAnsi="Times New Roman"/>
          <w:sz w:val="24"/>
          <w:szCs w:val="24"/>
        </w:rPr>
        <w:t xml:space="preserve">- Desdobramento do comprimento da parte aérea em </w:t>
      </w:r>
      <w:r w:rsidRPr="002B40FC">
        <w:rPr>
          <w:rFonts w:ascii="Times New Roman" w:eastAsia="Arial" w:hAnsi="Times New Roman"/>
          <w:i/>
          <w:sz w:val="24"/>
          <w:szCs w:val="24"/>
        </w:rPr>
        <w:t>Ochroma pyramidales</w:t>
      </w:r>
      <w:r w:rsidRPr="002B40FC">
        <w:rPr>
          <w:rFonts w:ascii="Times New Roman" w:eastAsia="Arial" w:hAnsi="Times New Roman"/>
          <w:sz w:val="24"/>
          <w:szCs w:val="24"/>
        </w:rPr>
        <w:t>, concentração do meio dentro de cada dose, Ipameri-GO 2015.</w:t>
      </w: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985"/>
        <w:gridCol w:w="1639"/>
        <w:gridCol w:w="1812"/>
        <w:gridCol w:w="1812"/>
        <w:gridCol w:w="1813"/>
      </w:tblGrid>
      <w:tr w:rsidR="006466AB" w:rsidRPr="002B40FC" w:rsidTr="00785CB1">
        <w:tc>
          <w:tcPr>
            <w:tcW w:w="1985" w:type="dxa"/>
            <w:vMerge w:val="restart"/>
            <w:vAlign w:val="center"/>
          </w:tcPr>
          <w:p w:rsidR="006466AB" w:rsidRPr="0019202F" w:rsidRDefault="006466AB"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Meio de Cultura</w:t>
            </w:r>
          </w:p>
        </w:tc>
        <w:tc>
          <w:tcPr>
            <w:tcW w:w="7076" w:type="dxa"/>
            <w:gridSpan w:val="4"/>
            <w:vAlign w:val="center"/>
          </w:tcPr>
          <w:p w:rsidR="006466AB" w:rsidRPr="0019202F" w:rsidRDefault="006466AB"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Concentrações de Sacarose (g.L</w:t>
            </w:r>
            <w:r w:rsidRPr="0019202F">
              <w:rPr>
                <w:rFonts w:ascii="Times New Roman" w:eastAsia="Arial" w:hAnsi="Times New Roman"/>
                <w:szCs w:val="24"/>
                <w:vertAlign w:val="superscript"/>
              </w:rPr>
              <w:t>-1</w:t>
            </w:r>
            <w:r w:rsidRPr="0019202F">
              <w:rPr>
                <w:rFonts w:ascii="Times New Roman" w:eastAsia="Arial" w:hAnsi="Times New Roman"/>
                <w:szCs w:val="24"/>
              </w:rPr>
              <w:t>)**</w:t>
            </w:r>
          </w:p>
        </w:tc>
      </w:tr>
      <w:tr w:rsidR="006466AB" w:rsidRPr="002B40FC" w:rsidTr="00785CB1">
        <w:tc>
          <w:tcPr>
            <w:tcW w:w="1985" w:type="dxa"/>
            <w:vMerge/>
            <w:tcBorders>
              <w:bottom w:val="single" w:sz="4" w:space="0" w:color="auto"/>
            </w:tcBorders>
            <w:vAlign w:val="center"/>
          </w:tcPr>
          <w:p w:rsidR="006466AB" w:rsidRPr="0019202F" w:rsidRDefault="006466AB" w:rsidP="00460133">
            <w:pPr>
              <w:autoSpaceDE w:val="0"/>
              <w:autoSpaceDN w:val="0"/>
              <w:adjustRightInd w:val="0"/>
              <w:spacing w:after="0" w:line="240" w:lineRule="auto"/>
              <w:jc w:val="both"/>
              <w:rPr>
                <w:rFonts w:ascii="Times New Roman" w:eastAsia="Arial" w:hAnsi="Times New Roman"/>
                <w:szCs w:val="24"/>
              </w:rPr>
            </w:pPr>
          </w:p>
        </w:tc>
        <w:tc>
          <w:tcPr>
            <w:tcW w:w="1639" w:type="dxa"/>
            <w:tcBorders>
              <w:bottom w:val="single" w:sz="4" w:space="0" w:color="auto"/>
            </w:tcBorders>
            <w:vAlign w:val="center"/>
          </w:tcPr>
          <w:p w:rsidR="006466AB" w:rsidRPr="0019202F" w:rsidRDefault="006466AB"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0</w:t>
            </w:r>
          </w:p>
        </w:tc>
        <w:tc>
          <w:tcPr>
            <w:tcW w:w="1812" w:type="dxa"/>
            <w:tcBorders>
              <w:bottom w:val="single" w:sz="4" w:space="0" w:color="auto"/>
            </w:tcBorders>
            <w:vAlign w:val="center"/>
          </w:tcPr>
          <w:p w:rsidR="006466AB" w:rsidRPr="0019202F" w:rsidRDefault="006466AB"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15</w:t>
            </w:r>
          </w:p>
        </w:tc>
        <w:tc>
          <w:tcPr>
            <w:tcW w:w="1812" w:type="dxa"/>
            <w:tcBorders>
              <w:bottom w:val="single" w:sz="4" w:space="0" w:color="auto"/>
            </w:tcBorders>
            <w:vAlign w:val="center"/>
          </w:tcPr>
          <w:p w:rsidR="006466AB" w:rsidRPr="0019202F" w:rsidRDefault="006466AB"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20</w:t>
            </w:r>
          </w:p>
        </w:tc>
        <w:tc>
          <w:tcPr>
            <w:tcW w:w="1813" w:type="dxa"/>
            <w:tcBorders>
              <w:bottom w:val="single" w:sz="4" w:space="0" w:color="auto"/>
            </w:tcBorders>
            <w:vAlign w:val="center"/>
          </w:tcPr>
          <w:p w:rsidR="006466AB" w:rsidRPr="0019202F" w:rsidRDefault="006466AB"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25</w:t>
            </w:r>
          </w:p>
        </w:tc>
      </w:tr>
      <w:tr w:rsidR="006466AB" w:rsidRPr="002B40FC" w:rsidTr="00A305F5">
        <w:tc>
          <w:tcPr>
            <w:tcW w:w="1985" w:type="dxa"/>
            <w:tcBorders>
              <w:bottom w:val="single" w:sz="4" w:space="0" w:color="auto"/>
            </w:tcBorders>
            <w:vAlign w:val="center"/>
          </w:tcPr>
          <w:p w:rsidR="006466AB" w:rsidRPr="0019202F" w:rsidRDefault="006466AB"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MS 50%</w:t>
            </w:r>
          </w:p>
        </w:tc>
        <w:tc>
          <w:tcPr>
            <w:tcW w:w="1639" w:type="dxa"/>
            <w:tcBorders>
              <w:bottom w:val="single" w:sz="4" w:space="0" w:color="auto"/>
            </w:tcBorders>
            <w:vAlign w:val="center"/>
          </w:tcPr>
          <w:p w:rsidR="006466AB" w:rsidRPr="0019202F" w:rsidRDefault="006466AB"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5,38aA</w:t>
            </w:r>
          </w:p>
        </w:tc>
        <w:tc>
          <w:tcPr>
            <w:tcW w:w="1812" w:type="dxa"/>
            <w:tcBorders>
              <w:bottom w:val="single" w:sz="4" w:space="0" w:color="auto"/>
            </w:tcBorders>
            <w:vAlign w:val="center"/>
          </w:tcPr>
          <w:p w:rsidR="006466AB" w:rsidRPr="0019202F" w:rsidRDefault="006466AB"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5,34aA</w:t>
            </w:r>
          </w:p>
        </w:tc>
        <w:tc>
          <w:tcPr>
            <w:tcW w:w="1812" w:type="dxa"/>
            <w:tcBorders>
              <w:bottom w:val="single" w:sz="4" w:space="0" w:color="auto"/>
            </w:tcBorders>
            <w:vAlign w:val="center"/>
          </w:tcPr>
          <w:p w:rsidR="006466AB" w:rsidRPr="0019202F" w:rsidRDefault="006466AB"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4,62aAB</w:t>
            </w:r>
          </w:p>
        </w:tc>
        <w:tc>
          <w:tcPr>
            <w:tcW w:w="1813" w:type="dxa"/>
            <w:tcBorders>
              <w:bottom w:val="single" w:sz="4" w:space="0" w:color="auto"/>
            </w:tcBorders>
            <w:vAlign w:val="center"/>
          </w:tcPr>
          <w:p w:rsidR="006466AB" w:rsidRPr="0019202F" w:rsidRDefault="006466AB"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2,94aB</w:t>
            </w:r>
          </w:p>
        </w:tc>
      </w:tr>
      <w:tr w:rsidR="006466AB" w:rsidRPr="002B40FC" w:rsidTr="00A305F5">
        <w:tc>
          <w:tcPr>
            <w:tcW w:w="1985" w:type="dxa"/>
            <w:tcBorders>
              <w:top w:val="single" w:sz="4" w:space="0" w:color="auto"/>
            </w:tcBorders>
            <w:vAlign w:val="center"/>
          </w:tcPr>
          <w:p w:rsidR="006466AB" w:rsidRPr="0019202F" w:rsidRDefault="006466AB"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MS 100%</w:t>
            </w:r>
          </w:p>
        </w:tc>
        <w:tc>
          <w:tcPr>
            <w:tcW w:w="1639" w:type="dxa"/>
            <w:tcBorders>
              <w:top w:val="single" w:sz="4" w:space="0" w:color="auto"/>
            </w:tcBorders>
            <w:vAlign w:val="center"/>
          </w:tcPr>
          <w:p w:rsidR="006466AB" w:rsidRPr="0019202F" w:rsidRDefault="006466AB"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4,22aA</w:t>
            </w:r>
          </w:p>
        </w:tc>
        <w:tc>
          <w:tcPr>
            <w:tcW w:w="1812" w:type="dxa"/>
            <w:tcBorders>
              <w:top w:val="single" w:sz="4" w:space="0" w:color="auto"/>
            </w:tcBorders>
            <w:vAlign w:val="center"/>
          </w:tcPr>
          <w:p w:rsidR="006466AB" w:rsidRPr="0019202F" w:rsidRDefault="006466AB"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2,35bB</w:t>
            </w:r>
          </w:p>
        </w:tc>
        <w:tc>
          <w:tcPr>
            <w:tcW w:w="1812" w:type="dxa"/>
            <w:tcBorders>
              <w:top w:val="single" w:sz="4" w:space="0" w:color="auto"/>
            </w:tcBorders>
            <w:vAlign w:val="center"/>
          </w:tcPr>
          <w:p w:rsidR="006466AB" w:rsidRPr="0019202F" w:rsidRDefault="006466AB"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4,53aA</w:t>
            </w:r>
          </w:p>
        </w:tc>
        <w:tc>
          <w:tcPr>
            <w:tcW w:w="1813" w:type="dxa"/>
            <w:tcBorders>
              <w:top w:val="single" w:sz="4" w:space="0" w:color="auto"/>
            </w:tcBorders>
            <w:vAlign w:val="center"/>
          </w:tcPr>
          <w:p w:rsidR="006466AB" w:rsidRPr="0019202F" w:rsidRDefault="006466AB"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2,23aB</w:t>
            </w:r>
          </w:p>
        </w:tc>
      </w:tr>
    </w:tbl>
    <w:p w:rsidR="006466AB" w:rsidRPr="002B40FC" w:rsidRDefault="006466AB" w:rsidP="00460133">
      <w:pPr>
        <w:spacing w:line="360" w:lineRule="auto"/>
        <w:jc w:val="both"/>
        <w:rPr>
          <w:rFonts w:ascii="Times New Roman" w:eastAsia="Arial" w:hAnsi="Times New Roman"/>
          <w:sz w:val="24"/>
          <w:szCs w:val="24"/>
        </w:rPr>
      </w:pPr>
      <w:r w:rsidRPr="00863862">
        <w:rPr>
          <w:rFonts w:ascii="Times New Roman" w:eastAsia="Arial" w:hAnsi="Times New Roman"/>
          <w:sz w:val="20"/>
          <w:szCs w:val="24"/>
        </w:rPr>
        <w:t>**Médias seguidas de mesma letra minúscula na linha e maiúscula na coluna não diferem significativamente entre si pelo Teste Tukey a 1% de probabilidade</w:t>
      </w:r>
      <w:r w:rsidRPr="002B40FC">
        <w:rPr>
          <w:rFonts w:ascii="Times New Roman" w:eastAsia="Arial" w:hAnsi="Times New Roman"/>
          <w:sz w:val="24"/>
          <w:szCs w:val="24"/>
        </w:rPr>
        <w:t>.</w:t>
      </w:r>
    </w:p>
    <w:p w:rsidR="00863862" w:rsidRDefault="006466AB" w:rsidP="00460133">
      <w:pPr>
        <w:autoSpaceDE w:val="0"/>
        <w:autoSpaceDN w:val="0"/>
        <w:adjustRightInd w:val="0"/>
        <w:spacing w:after="0" w:line="360" w:lineRule="auto"/>
        <w:ind w:firstLine="567"/>
        <w:jc w:val="both"/>
        <w:rPr>
          <w:rFonts w:ascii="Times New Roman" w:eastAsia="Arial" w:hAnsi="Times New Roman"/>
          <w:sz w:val="20"/>
          <w:szCs w:val="24"/>
        </w:rPr>
      </w:pPr>
      <w:r w:rsidRPr="002B40FC">
        <w:rPr>
          <w:rFonts w:ascii="Times New Roman" w:eastAsia="Arial" w:hAnsi="Times New Roman"/>
          <w:sz w:val="24"/>
          <w:szCs w:val="24"/>
        </w:rPr>
        <w:t>Considerando a concentração de sacarose dentro da concentração do meio, os resultados indicam comportamento semelhante entre os meios, e demonstra que na concentração abaixo de 15 g.L</w:t>
      </w:r>
      <w:r w:rsidRPr="002B40FC">
        <w:rPr>
          <w:rFonts w:ascii="Times New Roman" w:eastAsia="Arial" w:hAnsi="Times New Roman"/>
          <w:sz w:val="24"/>
          <w:szCs w:val="24"/>
          <w:vertAlign w:val="superscript"/>
        </w:rPr>
        <w:t>-1</w:t>
      </w:r>
      <w:r w:rsidRPr="002B40FC">
        <w:rPr>
          <w:rFonts w:ascii="Times New Roman" w:eastAsia="Arial" w:hAnsi="Times New Roman"/>
          <w:sz w:val="24"/>
          <w:szCs w:val="24"/>
        </w:rPr>
        <w:t xml:space="preserve"> (10 g.L</w:t>
      </w:r>
      <w:r w:rsidRPr="002B40FC">
        <w:rPr>
          <w:rFonts w:ascii="Times New Roman" w:eastAsia="Arial" w:hAnsi="Times New Roman"/>
          <w:sz w:val="24"/>
          <w:szCs w:val="24"/>
          <w:vertAlign w:val="superscript"/>
        </w:rPr>
        <w:t>-1</w:t>
      </w:r>
      <w:r w:rsidRPr="002B40FC">
        <w:rPr>
          <w:rFonts w:ascii="Times New Roman" w:eastAsia="Arial" w:hAnsi="Times New Roman"/>
          <w:sz w:val="24"/>
          <w:szCs w:val="24"/>
        </w:rPr>
        <w:t>), a altura da parte aérea expressou</w:t>
      </w:r>
      <w:r w:rsidR="009511C4" w:rsidRPr="002B40FC">
        <w:rPr>
          <w:rFonts w:ascii="Times New Roman" w:eastAsia="Arial" w:hAnsi="Times New Roman"/>
          <w:sz w:val="24"/>
          <w:szCs w:val="24"/>
        </w:rPr>
        <w:t xml:space="preserve"> o seu</w:t>
      </w:r>
      <w:r w:rsidR="00B3624E" w:rsidRPr="002B40FC">
        <w:rPr>
          <w:rFonts w:ascii="Times New Roman" w:eastAsia="Arial" w:hAnsi="Times New Roman"/>
          <w:sz w:val="24"/>
          <w:szCs w:val="24"/>
        </w:rPr>
        <w:t xml:space="preserve"> </w:t>
      </w:r>
      <w:r w:rsidRPr="002B40FC">
        <w:rPr>
          <w:rFonts w:ascii="Times New Roman" w:eastAsia="Arial" w:hAnsi="Times New Roman"/>
          <w:sz w:val="24"/>
          <w:szCs w:val="24"/>
        </w:rPr>
        <w:t xml:space="preserve">comprimento máximo (Figura </w:t>
      </w:r>
      <w:r w:rsidR="00A305F5" w:rsidRPr="002B40FC">
        <w:rPr>
          <w:rFonts w:ascii="Times New Roman" w:eastAsia="Arial" w:hAnsi="Times New Roman"/>
          <w:sz w:val="24"/>
          <w:szCs w:val="24"/>
        </w:rPr>
        <w:t>4</w:t>
      </w:r>
      <w:r w:rsidR="00C812A1" w:rsidRPr="002B40FC">
        <w:rPr>
          <w:rFonts w:ascii="Times New Roman" w:eastAsia="Arial" w:hAnsi="Times New Roman"/>
          <w:sz w:val="24"/>
          <w:szCs w:val="24"/>
        </w:rPr>
        <w:t>)</w:t>
      </w:r>
      <w:r w:rsidR="000630E8" w:rsidRPr="002B40FC">
        <w:rPr>
          <w:rFonts w:ascii="Times New Roman" w:eastAsia="Arial" w:hAnsi="Times New Roman"/>
          <w:sz w:val="24"/>
          <w:szCs w:val="24"/>
        </w:rPr>
        <w:t>.</w:t>
      </w:r>
      <w:r w:rsidR="0078518C" w:rsidRPr="002B40FC">
        <w:rPr>
          <w:rFonts w:ascii="Times New Roman" w:eastAsia="Arial" w:hAnsi="Times New Roman"/>
          <w:sz w:val="24"/>
          <w:szCs w:val="24"/>
        </w:rPr>
        <w:t xml:space="preserve"> </w:t>
      </w:r>
      <w:r w:rsidR="0078518C" w:rsidRPr="002B40FC">
        <w:rPr>
          <w:rFonts w:ascii="Times New Roman" w:eastAsia="Arial" w:hAnsi="Times New Roman"/>
          <w:noProof/>
          <w:sz w:val="24"/>
          <w:szCs w:val="24"/>
          <w:lang w:eastAsia="pt-BR"/>
        </w:rPr>
        <w:lastRenderedPageBreak/>
        <w:drawing>
          <wp:inline distT="0" distB="0" distL="0" distR="0">
            <wp:extent cx="5759450" cy="2201549"/>
            <wp:effectExtent l="0" t="0" r="0" b="8255"/>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a 3 certa.jpg"/>
                    <pic:cNvPicPr/>
                  </pic:nvPicPr>
                  <pic:blipFill>
                    <a:blip r:embed="rId16" cstate="print">
                      <a:extLst>
                        <a:ext uri="{BEBA8EAE-BF5A-486C-A8C5-ECC9F3942E4B}">
                          <a14:imgProps xmlns:a14="http://schemas.microsoft.com/office/drawing/2010/main">
                            <a14:imgLayer r:embed="rId1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759819" cy="2201690"/>
                    </a:xfrm>
                    <a:prstGeom prst="rect">
                      <a:avLst/>
                    </a:prstGeom>
                  </pic:spPr>
                </pic:pic>
              </a:graphicData>
            </a:graphic>
          </wp:inline>
        </w:drawing>
      </w:r>
      <w:r w:rsidRPr="00863862">
        <w:rPr>
          <w:rFonts w:ascii="Times New Roman" w:eastAsia="Arial" w:hAnsi="Times New Roman"/>
          <w:b/>
          <w:sz w:val="20"/>
          <w:szCs w:val="24"/>
        </w:rPr>
        <w:t xml:space="preserve">Figura </w:t>
      </w:r>
      <w:r w:rsidR="00A305F5" w:rsidRPr="00863862">
        <w:rPr>
          <w:rFonts w:ascii="Times New Roman" w:eastAsia="Arial" w:hAnsi="Times New Roman"/>
          <w:b/>
          <w:sz w:val="20"/>
          <w:szCs w:val="24"/>
        </w:rPr>
        <w:t>4</w:t>
      </w:r>
      <w:r w:rsidRPr="00863862">
        <w:rPr>
          <w:rFonts w:ascii="Times New Roman" w:eastAsia="Arial" w:hAnsi="Times New Roman"/>
          <w:sz w:val="20"/>
          <w:szCs w:val="24"/>
        </w:rPr>
        <w:t xml:space="preserve"> - Desdobramento do comprimento da parte aérea em </w:t>
      </w:r>
      <w:r w:rsidRPr="00863862">
        <w:rPr>
          <w:rFonts w:ascii="Times New Roman" w:eastAsia="Arial" w:hAnsi="Times New Roman"/>
          <w:i/>
          <w:sz w:val="20"/>
          <w:szCs w:val="24"/>
        </w:rPr>
        <w:t>Ochroma pyramidales</w:t>
      </w:r>
      <w:r w:rsidRPr="00863862">
        <w:rPr>
          <w:rFonts w:ascii="Times New Roman" w:eastAsia="Arial" w:hAnsi="Times New Roman"/>
          <w:sz w:val="20"/>
          <w:szCs w:val="24"/>
        </w:rPr>
        <w:t>, doses de sacarose dentro do meio MS 50% (A) e doses de sacarose dentro do meio MS 100% (B).</w:t>
      </w:r>
    </w:p>
    <w:p w:rsidR="0007095E" w:rsidRPr="00863862" w:rsidRDefault="006466AB" w:rsidP="00460133">
      <w:pPr>
        <w:autoSpaceDE w:val="0"/>
        <w:autoSpaceDN w:val="0"/>
        <w:adjustRightInd w:val="0"/>
        <w:spacing w:line="360" w:lineRule="auto"/>
        <w:jc w:val="both"/>
        <w:rPr>
          <w:rFonts w:ascii="Times New Roman" w:eastAsia="Arial" w:hAnsi="Times New Roman"/>
          <w:sz w:val="20"/>
          <w:szCs w:val="24"/>
        </w:rPr>
      </w:pPr>
      <w:r w:rsidRPr="00863862">
        <w:rPr>
          <w:rFonts w:ascii="Times New Roman" w:eastAsia="Arial" w:hAnsi="Times New Roman"/>
          <w:sz w:val="20"/>
          <w:szCs w:val="24"/>
        </w:rPr>
        <w:t>**As médias seguidas de mesma letra não diferem entre si pelo Teste Tukey a 1% de probabilidade.</w:t>
      </w:r>
    </w:p>
    <w:p w:rsidR="009511C4" w:rsidRPr="002B40FC" w:rsidRDefault="009511C4" w:rsidP="00460133">
      <w:pPr>
        <w:autoSpaceDE w:val="0"/>
        <w:autoSpaceDN w:val="0"/>
        <w:adjustRightInd w:val="0"/>
        <w:spacing w:after="0" w:line="360" w:lineRule="auto"/>
        <w:ind w:firstLine="567"/>
        <w:jc w:val="both"/>
        <w:rPr>
          <w:rFonts w:ascii="Times New Roman" w:eastAsia="Arial" w:hAnsi="Times New Roman"/>
          <w:sz w:val="24"/>
          <w:szCs w:val="24"/>
        </w:rPr>
      </w:pPr>
      <w:r w:rsidRPr="002B40FC">
        <w:rPr>
          <w:rFonts w:ascii="Times New Roman" w:eastAsia="Arial" w:hAnsi="Times New Roman"/>
          <w:sz w:val="24"/>
          <w:szCs w:val="24"/>
        </w:rPr>
        <w:t xml:space="preserve">A massa fresca foi influenciada pela concentração do meio MS e por meio da interação entre os tratamentos. O meio MS 50% proporcionou um peso em gramas de 0,786, em contrapartida o meio MS 100%, foi de apenas 0,753. </w:t>
      </w:r>
    </w:p>
    <w:p w:rsidR="0078518C" w:rsidRPr="002B40FC" w:rsidRDefault="009511C4" w:rsidP="00460133">
      <w:pPr>
        <w:autoSpaceDE w:val="0"/>
        <w:autoSpaceDN w:val="0"/>
        <w:adjustRightInd w:val="0"/>
        <w:spacing w:after="0" w:line="360" w:lineRule="auto"/>
        <w:ind w:firstLine="567"/>
        <w:jc w:val="both"/>
        <w:rPr>
          <w:rFonts w:ascii="Times New Roman" w:eastAsia="Arial" w:hAnsi="Times New Roman"/>
          <w:sz w:val="24"/>
          <w:szCs w:val="24"/>
        </w:rPr>
      </w:pPr>
      <w:r w:rsidRPr="002B40FC">
        <w:rPr>
          <w:rFonts w:ascii="Times New Roman" w:eastAsia="Arial" w:hAnsi="Times New Roman"/>
          <w:sz w:val="24"/>
          <w:szCs w:val="24"/>
        </w:rPr>
        <w:t xml:space="preserve">No meio MS 100% observou que o aumento nas concentrações de sacarose provocou diminuição no peso da massa fresca, o que pode ser notado através da analises </w:t>
      </w:r>
      <w:r w:rsidR="0078518C" w:rsidRPr="002B40FC">
        <w:rPr>
          <w:rFonts w:ascii="Times New Roman" w:eastAsia="Arial" w:hAnsi="Times New Roman"/>
          <w:sz w:val="24"/>
          <w:szCs w:val="24"/>
        </w:rPr>
        <w:t xml:space="preserve">estatísticas </w:t>
      </w:r>
      <w:r w:rsidRPr="002B40FC">
        <w:rPr>
          <w:rFonts w:ascii="Times New Roman" w:eastAsia="Arial" w:hAnsi="Times New Roman"/>
          <w:sz w:val="24"/>
          <w:szCs w:val="24"/>
        </w:rPr>
        <w:t xml:space="preserve">(Tabela 2 e Figura </w:t>
      </w:r>
      <w:r w:rsidR="00A349C7" w:rsidRPr="002B40FC">
        <w:rPr>
          <w:rFonts w:ascii="Times New Roman" w:eastAsia="Arial" w:hAnsi="Times New Roman"/>
          <w:sz w:val="24"/>
          <w:szCs w:val="24"/>
        </w:rPr>
        <w:t>5</w:t>
      </w:r>
      <w:r w:rsidRPr="002B40FC">
        <w:rPr>
          <w:rFonts w:ascii="Times New Roman" w:eastAsia="Arial" w:hAnsi="Times New Roman"/>
          <w:sz w:val="24"/>
          <w:szCs w:val="24"/>
        </w:rPr>
        <w:t>)</w:t>
      </w:r>
      <w:r w:rsidR="00A349C7" w:rsidRPr="002B40FC">
        <w:rPr>
          <w:rFonts w:ascii="Times New Roman" w:eastAsia="Arial" w:hAnsi="Times New Roman"/>
          <w:sz w:val="24"/>
          <w:szCs w:val="24"/>
        </w:rPr>
        <w:t>.</w:t>
      </w:r>
    </w:p>
    <w:p w:rsidR="00BC6C48" w:rsidRPr="002B40FC" w:rsidRDefault="0078518C" w:rsidP="00460133">
      <w:pPr>
        <w:autoSpaceDE w:val="0"/>
        <w:autoSpaceDN w:val="0"/>
        <w:adjustRightInd w:val="0"/>
        <w:spacing w:before="240" w:after="0" w:line="360" w:lineRule="auto"/>
        <w:jc w:val="both"/>
        <w:rPr>
          <w:rFonts w:ascii="Times New Roman" w:eastAsia="Arial" w:hAnsi="Times New Roman"/>
          <w:b/>
          <w:sz w:val="24"/>
          <w:szCs w:val="24"/>
        </w:rPr>
      </w:pPr>
      <w:r w:rsidRPr="002B40FC">
        <w:rPr>
          <w:rFonts w:ascii="Times New Roman" w:eastAsia="Arial" w:hAnsi="Times New Roman"/>
          <w:b/>
          <w:noProof/>
          <w:sz w:val="24"/>
          <w:szCs w:val="24"/>
          <w:lang w:eastAsia="pt-BR"/>
        </w:rPr>
        <w:drawing>
          <wp:inline distT="0" distB="0" distL="0" distR="0">
            <wp:extent cx="5718412" cy="1691005"/>
            <wp:effectExtent l="0" t="0" r="0" b="4445"/>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a 4.jpg"/>
                    <pic:cNvPicPr/>
                  </pic:nvPicPr>
                  <pic:blipFill rotWithShape="1">
                    <a:blip r:embed="rId18" cstate="print">
                      <a:extLst>
                        <a:ext uri="{BEBA8EAE-BF5A-486C-A8C5-ECC9F3942E4B}">
                          <a14:imgProps xmlns:a14="http://schemas.microsoft.com/office/drawing/2010/main">
                            <a14:imgLayer r:embed="rId19">
                              <a14:imgEffect>
                                <a14:sharpenSoften amount="50000"/>
                              </a14:imgEffect>
                            </a14:imgLayer>
                          </a14:imgProps>
                        </a:ext>
                        <a:ext uri="{28A0092B-C50C-407E-A947-70E740481C1C}">
                          <a14:useLocalDpi xmlns:a14="http://schemas.microsoft.com/office/drawing/2010/main" val="0"/>
                        </a:ext>
                      </a:extLst>
                    </a:blip>
                    <a:srcRect r="713"/>
                    <a:stretch/>
                  </pic:blipFill>
                  <pic:spPr bwMode="auto">
                    <a:xfrm>
                      <a:off x="0" y="0"/>
                      <a:ext cx="5718412" cy="1691005"/>
                    </a:xfrm>
                    <a:prstGeom prst="rect">
                      <a:avLst/>
                    </a:prstGeom>
                    <a:ln>
                      <a:noFill/>
                    </a:ln>
                    <a:extLst>
                      <a:ext uri="{53640926-AAD7-44D8-BBD7-CCE9431645EC}">
                        <a14:shadowObscured xmlns:a14="http://schemas.microsoft.com/office/drawing/2010/main"/>
                      </a:ext>
                    </a:extLst>
                  </pic:spPr>
                </pic:pic>
              </a:graphicData>
            </a:graphic>
          </wp:inline>
        </w:drawing>
      </w:r>
    </w:p>
    <w:p w:rsidR="00C34B8D" w:rsidRPr="00863862" w:rsidRDefault="009511C4" w:rsidP="00460133">
      <w:pPr>
        <w:autoSpaceDE w:val="0"/>
        <w:autoSpaceDN w:val="0"/>
        <w:adjustRightInd w:val="0"/>
        <w:spacing w:after="0" w:line="360" w:lineRule="auto"/>
        <w:jc w:val="both"/>
        <w:rPr>
          <w:rFonts w:ascii="Times New Roman" w:hAnsi="Times New Roman"/>
          <w:noProof/>
          <w:sz w:val="20"/>
          <w:szCs w:val="24"/>
          <w:lang w:eastAsia="pt-BR"/>
        </w:rPr>
      </w:pPr>
      <w:r w:rsidRPr="00863862">
        <w:rPr>
          <w:rFonts w:ascii="Times New Roman" w:eastAsia="Arial" w:hAnsi="Times New Roman"/>
          <w:b/>
          <w:sz w:val="20"/>
          <w:szCs w:val="24"/>
        </w:rPr>
        <w:t xml:space="preserve">Figura </w:t>
      </w:r>
      <w:r w:rsidR="00A349C7" w:rsidRPr="00863862">
        <w:rPr>
          <w:rFonts w:ascii="Times New Roman" w:eastAsia="Arial" w:hAnsi="Times New Roman"/>
          <w:b/>
          <w:sz w:val="20"/>
          <w:szCs w:val="24"/>
        </w:rPr>
        <w:t>5</w:t>
      </w:r>
      <w:r w:rsidRPr="00863862">
        <w:rPr>
          <w:rFonts w:ascii="Times New Roman" w:eastAsia="Arial" w:hAnsi="Times New Roman"/>
          <w:sz w:val="20"/>
          <w:szCs w:val="24"/>
        </w:rPr>
        <w:t xml:space="preserve"> - Massa fresca em </w:t>
      </w:r>
      <w:r w:rsidRPr="00863862">
        <w:rPr>
          <w:rFonts w:ascii="Times New Roman" w:eastAsia="Arial" w:hAnsi="Times New Roman"/>
          <w:i/>
          <w:sz w:val="20"/>
          <w:szCs w:val="24"/>
        </w:rPr>
        <w:t>Ochroma pyramidales</w:t>
      </w:r>
      <w:r w:rsidRPr="00863862">
        <w:rPr>
          <w:rFonts w:ascii="Times New Roman" w:eastAsia="Arial" w:hAnsi="Times New Roman"/>
          <w:sz w:val="20"/>
          <w:szCs w:val="24"/>
        </w:rPr>
        <w:t xml:space="preserve">; </w:t>
      </w:r>
      <w:r w:rsidRPr="00863862">
        <w:rPr>
          <w:rFonts w:ascii="Times New Roman" w:eastAsia="Arial" w:hAnsi="Times New Roman"/>
          <w:b/>
          <w:sz w:val="20"/>
          <w:szCs w:val="24"/>
        </w:rPr>
        <w:t>A)</w:t>
      </w:r>
      <w:r w:rsidRPr="00863862">
        <w:rPr>
          <w:rFonts w:ascii="Times New Roman" w:eastAsia="Arial" w:hAnsi="Times New Roman"/>
          <w:sz w:val="20"/>
          <w:szCs w:val="24"/>
        </w:rPr>
        <w:t xml:space="preserve"> Em função das concentrações de meio MS; </w:t>
      </w:r>
      <w:r w:rsidRPr="00863862">
        <w:rPr>
          <w:rFonts w:ascii="Times New Roman" w:eastAsia="Arial" w:hAnsi="Times New Roman"/>
          <w:b/>
          <w:sz w:val="20"/>
          <w:szCs w:val="24"/>
        </w:rPr>
        <w:t>B</w:t>
      </w:r>
      <w:r w:rsidRPr="00863862">
        <w:rPr>
          <w:rFonts w:ascii="Times New Roman" w:eastAsia="Arial" w:hAnsi="Times New Roman"/>
          <w:sz w:val="20"/>
          <w:szCs w:val="24"/>
        </w:rPr>
        <w:t>) Desdobramento, doses dentro de cada meio.</w:t>
      </w:r>
    </w:p>
    <w:p w:rsidR="009511C4" w:rsidRPr="00863862" w:rsidRDefault="009511C4" w:rsidP="00460133">
      <w:pPr>
        <w:autoSpaceDE w:val="0"/>
        <w:autoSpaceDN w:val="0"/>
        <w:adjustRightInd w:val="0"/>
        <w:spacing w:after="0" w:line="360" w:lineRule="auto"/>
        <w:jc w:val="both"/>
        <w:rPr>
          <w:rFonts w:ascii="Times New Roman" w:eastAsia="Arial" w:hAnsi="Times New Roman"/>
          <w:sz w:val="20"/>
          <w:szCs w:val="24"/>
        </w:rPr>
      </w:pPr>
      <w:r w:rsidRPr="00863862">
        <w:rPr>
          <w:rFonts w:ascii="Times New Roman" w:eastAsia="Arial" w:hAnsi="Times New Roman"/>
          <w:sz w:val="20"/>
          <w:szCs w:val="24"/>
        </w:rPr>
        <w:t>**As médias seguidas de mesma letra não diferem entre si pelo Teste Tukey a 1% de probabilidade.</w:t>
      </w:r>
    </w:p>
    <w:p w:rsidR="000630E8" w:rsidRPr="00863862" w:rsidRDefault="009511C4" w:rsidP="00460133">
      <w:pPr>
        <w:autoSpaceDE w:val="0"/>
        <w:autoSpaceDN w:val="0"/>
        <w:adjustRightInd w:val="0"/>
        <w:spacing w:line="360" w:lineRule="auto"/>
        <w:jc w:val="both"/>
        <w:rPr>
          <w:rFonts w:ascii="Times New Roman" w:eastAsia="Arial" w:hAnsi="Times New Roman"/>
          <w:sz w:val="20"/>
          <w:szCs w:val="24"/>
        </w:rPr>
      </w:pPr>
      <w:r w:rsidRPr="00863862">
        <w:rPr>
          <w:rFonts w:ascii="Times New Roman" w:eastAsia="Arial" w:hAnsi="Times New Roman"/>
          <w:sz w:val="20"/>
          <w:szCs w:val="24"/>
        </w:rPr>
        <w:t>*As médias seguidas de mesma letra no desdobramento não diferem entre si pelo Teste Tukey a 5% de probabilidade.</w:t>
      </w:r>
    </w:p>
    <w:p w:rsidR="009511C4" w:rsidRPr="002B40FC" w:rsidRDefault="009511C4" w:rsidP="00460133">
      <w:pPr>
        <w:autoSpaceDE w:val="0"/>
        <w:autoSpaceDN w:val="0"/>
        <w:adjustRightInd w:val="0"/>
        <w:spacing w:line="360" w:lineRule="auto"/>
        <w:jc w:val="both"/>
        <w:rPr>
          <w:rFonts w:ascii="Times New Roman" w:eastAsia="Arial" w:hAnsi="Times New Roman"/>
          <w:sz w:val="24"/>
          <w:szCs w:val="24"/>
        </w:rPr>
      </w:pPr>
      <w:r w:rsidRPr="002B40FC">
        <w:rPr>
          <w:rFonts w:ascii="Times New Roman" w:eastAsia="Arial" w:hAnsi="Times New Roman"/>
          <w:b/>
          <w:sz w:val="24"/>
          <w:szCs w:val="24"/>
        </w:rPr>
        <w:t xml:space="preserve">Tabela 2 </w:t>
      </w:r>
      <w:r w:rsidRPr="002B40FC">
        <w:rPr>
          <w:rFonts w:ascii="Times New Roman" w:eastAsia="Arial" w:hAnsi="Times New Roman"/>
          <w:sz w:val="24"/>
          <w:szCs w:val="24"/>
        </w:rPr>
        <w:t xml:space="preserve">- Desdobramento da massa fresca em </w:t>
      </w:r>
      <w:r w:rsidRPr="002B40FC">
        <w:rPr>
          <w:rFonts w:ascii="Times New Roman" w:eastAsia="Arial" w:hAnsi="Times New Roman"/>
          <w:i/>
          <w:sz w:val="24"/>
          <w:szCs w:val="24"/>
        </w:rPr>
        <w:t>Ochroma pyramidales</w:t>
      </w:r>
      <w:r w:rsidRPr="002B40FC">
        <w:rPr>
          <w:rFonts w:ascii="Times New Roman" w:eastAsia="Arial" w:hAnsi="Times New Roman"/>
          <w:sz w:val="24"/>
          <w:szCs w:val="24"/>
        </w:rPr>
        <w:t>, meio dentro de cada dose, Ipameri-GO 2015.</w:t>
      </w: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985"/>
        <w:gridCol w:w="1639"/>
        <w:gridCol w:w="1812"/>
        <w:gridCol w:w="1812"/>
        <w:gridCol w:w="1813"/>
      </w:tblGrid>
      <w:tr w:rsidR="009511C4" w:rsidRPr="002B40FC" w:rsidTr="00785CB1">
        <w:tc>
          <w:tcPr>
            <w:tcW w:w="1985" w:type="dxa"/>
            <w:vMerge w:val="restart"/>
            <w:vAlign w:val="center"/>
          </w:tcPr>
          <w:p w:rsidR="009511C4" w:rsidRPr="0019202F" w:rsidRDefault="009511C4"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Meio de Cultura</w:t>
            </w:r>
          </w:p>
        </w:tc>
        <w:tc>
          <w:tcPr>
            <w:tcW w:w="7076" w:type="dxa"/>
            <w:gridSpan w:val="4"/>
            <w:vAlign w:val="center"/>
          </w:tcPr>
          <w:p w:rsidR="009511C4" w:rsidRPr="0019202F" w:rsidRDefault="009511C4"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Concentrações de Sacarose (g.L</w:t>
            </w:r>
            <w:r w:rsidRPr="0019202F">
              <w:rPr>
                <w:rFonts w:ascii="Times New Roman" w:eastAsia="Arial" w:hAnsi="Times New Roman"/>
                <w:szCs w:val="24"/>
                <w:vertAlign w:val="superscript"/>
              </w:rPr>
              <w:t>-1</w:t>
            </w:r>
            <w:r w:rsidRPr="0019202F">
              <w:rPr>
                <w:rFonts w:ascii="Times New Roman" w:eastAsia="Arial" w:hAnsi="Times New Roman"/>
                <w:szCs w:val="24"/>
              </w:rPr>
              <w:t>)*</w:t>
            </w:r>
          </w:p>
        </w:tc>
      </w:tr>
      <w:tr w:rsidR="009511C4" w:rsidRPr="002B40FC" w:rsidTr="00785CB1">
        <w:tc>
          <w:tcPr>
            <w:tcW w:w="1985" w:type="dxa"/>
            <w:vMerge/>
            <w:tcBorders>
              <w:bottom w:val="single" w:sz="4" w:space="0" w:color="auto"/>
            </w:tcBorders>
            <w:vAlign w:val="center"/>
          </w:tcPr>
          <w:p w:rsidR="009511C4" w:rsidRPr="0019202F" w:rsidRDefault="009511C4" w:rsidP="00460133">
            <w:pPr>
              <w:autoSpaceDE w:val="0"/>
              <w:autoSpaceDN w:val="0"/>
              <w:adjustRightInd w:val="0"/>
              <w:spacing w:after="0" w:line="240" w:lineRule="auto"/>
              <w:jc w:val="both"/>
              <w:rPr>
                <w:rFonts w:ascii="Times New Roman" w:eastAsia="Arial" w:hAnsi="Times New Roman"/>
                <w:szCs w:val="24"/>
              </w:rPr>
            </w:pPr>
          </w:p>
        </w:tc>
        <w:tc>
          <w:tcPr>
            <w:tcW w:w="1639" w:type="dxa"/>
            <w:tcBorders>
              <w:bottom w:val="single" w:sz="4" w:space="0" w:color="auto"/>
            </w:tcBorders>
            <w:vAlign w:val="center"/>
          </w:tcPr>
          <w:p w:rsidR="009511C4" w:rsidRPr="0019202F" w:rsidRDefault="009511C4"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0</w:t>
            </w:r>
          </w:p>
        </w:tc>
        <w:tc>
          <w:tcPr>
            <w:tcW w:w="1812" w:type="dxa"/>
            <w:tcBorders>
              <w:bottom w:val="single" w:sz="4" w:space="0" w:color="auto"/>
            </w:tcBorders>
            <w:vAlign w:val="center"/>
          </w:tcPr>
          <w:p w:rsidR="009511C4" w:rsidRPr="0019202F" w:rsidRDefault="009511C4"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15</w:t>
            </w:r>
          </w:p>
        </w:tc>
        <w:tc>
          <w:tcPr>
            <w:tcW w:w="1812" w:type="dxa"/>
            <w:tcBorders>
              <w:bottom w:val="single" w:sz="4" w:space="0" w:color="auto"/>
            </w:tcBorders>
            <w:vAlign w:val="center"/>
          </w:tcPr>
          <w:p w:rsidR="009511C4" w:rsidRPr="0019202F" w:rsidRDefault="009511C4"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20</w:t>
            </w:r>
          </w:p>
        </w:tc>
        <w:tc>
          <w:tcPr>
            <w:tcW w:w="1813" w:type="dxa"/>
            <w:tcBorders>
              <w:bottom w:val="single" w:sz="4" w:space="0" w:color="auto"/>
            </w:tcBorders>
            <w:vAlign w:val="center"/>
          </w:tcPr>
          <w:p w:rsidR="009511C4" w:rsidRPr="0019202F" w:rsidRDefault="009511C4"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25</w:t>
            </w:r>
          </w:p>
        </w:tc>
      </w:tr>
      <w:tr w:rsidR="009511C4" w:rsidRPr="002B40FC" w:rsidTr="00785CB1">
        <w:tc>
          <w:tcPr>
            <w:tcW w:w="1985" w:type="dxa"/>
            <w:tcBorders>
              <w:bottom w:val="nil"/>
            </w:tcBorders>
            <w:vAlign w:val="center"/>
          </w:tcPr>
          <w:p w:rsidR="009511C4" w:rsidRPr="0019202F" w:rsidRDefault="009511C4"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lastRenderedPageBreak/>
              <w:t>MS 50%</w:t>
            </w:r>
          </w:p>
        </w:tc>
        <w:tc>
          <w:tcPr>
            <w:tcW w:w="1639" w:type="dxa"/>
            <w:tcBorders>
              <w:bottom w:val="nil"/>
            </w:tcBorders>
            <w:vAlign w:val="center"/>
          </w:tcPr>
          <w:p w:rsidR="009511C4" w:rsidRPr="0019202F" w:rsidRDefault="009511C4"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0,779 aA</w:t>
            </w:r>
          </w:p>
        </w:tc>
        <w:tc>
          <w:tcPr>
            <w:tcW w:w="1812" w:type="dxa"/>
            <w:tcBorders>
              <w:bottom w:val="nil"/>
            </w:tcBorders>
            <w:vAlign w:val="center"/>
          </w:tcPr>
          <w:p w:rsidR="009511C4" w:rsidRPr="0019202F" w:rsidRDefault="009511C4"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0,811 aA</w:t>
            </w:r>
          </w:p>
        </w:tc>
        <w:tc>
          <w:tcPr>
            <w:tcW w:w="1812" w:type="dxa"/>
            <w:tcBorders>
              <w:bottom w:val="nil"/>
            </w:tcBorders>
            <w:vAlign w:val="center"/>
          </w:tcPr>
          <w:p w:rsidR="009511C4" w:rsidRPr="0019202F" w:rsidRDefault="009511C4"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0,802 aA</w:t>
            </w:r>
          </w:p>
        </w:tc>
        <w:tc>
          <w:tcPr>
            <w:tcW w:w="1813" w:type="dxa"/>
            <w:tcBorders>
              <w:bottom w:val="nil"/>
            </w:tcBorders>
            <w:vAlign w:val="center"/>
          </w:tcPr>
          <w:p w:rsidR="009511C4" w:rsidRPr="0019202F" w:rsidRDefault="009511C4"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0,753 aA</w:t>
            </w:r>
          </w:p>
        </w:tc>
      </w:tr>
      <w:tr w:rsidR="009511C4" w:rsidRPr="002B40FC" w:rsidTr="00785CB1">
        <w:tc>
          <w:tcPr>
            <w:tcW w:w="1985" w:type="dxa"/>
            <w:tcBorders>
              <w:top w:val="nil"/>
            </w:tcBorders>
            <w:vAlign w:val="center"/>
          </w:tcPr>
          <w:p w:rsidR="009511C4" w:rsidRPr="0019202F" w:rsidRDefault="009511C4"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MS 100%</w:t>
            </w:r>
          </w:p>
        </w:tc>
        <w:tc>
          <w:tcPr>
            <w:tcW w:w="1639" w:type="dxa"/>
            <w:tcBorders>
              <w:top w:val="nil"/>
            </w:tcBorders>
            <w:vAlign w:val="center"/>
          </w:tcPr>
          <w:p w:rsidR="009511C4" w:rsidRPr="0019202F" w:rsidRDefault="009511C4"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0,792 aA</w:t>
            </w:r>
          </w:p>
        </w:tc>
        <w:tc>
          <w:tcPr>
            <w:tcW w:w="1812" w:type="dxa"/>
            <w:tcBorders>
              <w:top w:val="nil"/>
            </w:tcBorders>
            <w:vAlign w:val="center"/>
          </w:tcPr>
          <w:p w:rsidR="009511C4" w:rsidRPr="0019202F" w:rsidRDefault="009511C4"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0,732 bA</w:t>
            </w:r>
          </w:p>
        </w:tc>
        <w:tc>
          <w:tcPr>
            <w:tcW w:w="1812" w:type="dxa"/>
            <w:tcBorders>
              <w:top w:val="nil"/>
            </w:tcBorders>
            <w:vAlign w:val="center"/>
          </w:tcPr>
          <w:p w:rsidR="009511C4" w:rsidRPr="0019202F" w:rsidRDefault="009511C4"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0,755 bA</w:t>
            </w:r>
          </w:p>
        </w:tc>
        <w:tc>
          <w:tcPr>
            <w:tcW w:w="1813" w:type="dxa"/>
            <w:tcBorders>
              <w:top w:val="nil"/>
            </w:tcBorders>
            <w:vAlign w:val="center"/>
          </w:tcPr>
          <w:p w:rsidR="009511C4" w:rsidRPr="0019202F" w:rsidRDefault="009511C4" w:rsidP="00460133">
            <w:pPr>
              <w:autoSpaceDE w:val="0"/>
              <w:autoSpaceDN w:val="0"/>
              <w:adjustRightInd w:val="0"/>
              <w:spacing w:after="0" w:line="240" w:lineRule="auto"/>
              <w:jc w:val="both"/>
              <w:rPr>
                <w:rFonts w:ascii="Times New Roman" w:eastAsia="Arial" w:hAnsi="Times New Roman"/>
                <w:szCs w:val="24"/>
              </w:rPr>
            </w:pPr>
            <w:r w:rsidRPr="0019202F">
              <w:rPr>
                <w:rFonts w:ascii="Times New Roman" w:eastAsia="Arial" w:hAnsi="Times New Roman"/>
                <w:szCs w:val="24"/>
              </w:rPr>
              <w:t>0,732 aA</w:t>
            </w:r>
          </w:p>
        </w:tc>
      </w:tr>
    </w:tbl>
    <w:p w:rsidR="008329EC" w:rsidRPr="00863862" w:rsidRDefault="009511C4" w:rsidP="00460133">
      <w:pPr>
        <w:autoSpaceDE w:val="0"/>
        <w:autoSpaceDN w:val="0"/>
        <w:adjustRightInd w:val="0"/>
        <w:spacing w:line="360" w:lineRule="auto"/>
        <w:jc w:val="both"/>
        <w:rPr>
          <w:rFonts w:ascii="Times New Roman" w:eastAsia="Arial" w:hAnsi="Times New Roman"/>
          <w:sz w:val="20"/>
          <w:szCs w:val="24"/>
        </w:rPr>
      </w:pPr>
      <w:r w:rsidRPr="00863862">
        <w:rPr>
          <w:rFonts w:ascii="Times New Roman" w:eastAsia="Arial" w:hAnsi="Times New Roman"/>
          <w:sz w:val="20"/>
          <w:szCs w:val="24"/>
        </w:rPr>
        <w:t>*Médias seguidas de mesma letra minúscula na linha e maiúscula na coluna não diferem significativamente entre si pelo Teste Tukey a 5% de probabilidade.</w:t>
      </w:r>
    </w:p>
    <w:p w:rsidR="009511C4" w:rsidRPr="002B40FC" w:rsidRDefault="008329EC" w:rsidP="0019202F">
      <w:pPr>
        <w:tabs>
          <w:tab w:val="left" w:pos="567"/>
        </w:tabs>
        <w:autoSpaceDE w:val="0"/>
        <w:autoSpaceDN w:val="0"/>
        <w:adjustRightInd w:val="0"/>
        <w:spacing w:line="360" w:lineRule="auto"/>
        <w:ind w:firstLine="567"/>
        <w:jc w:val="both"/>
        <w:rPr>
          <w:rFonts w:ascii="Times New Roman" w:eastAsia="Arial" w:hAnsi="Times New Roman"/>
          <w:sz w:val="24"/>
          <w:szCs w:val="24"/>
        </w:rPr>
      </w:pPr>
      <w:r w:rsidRPr="002B40FC">
        <w:rPr>
          <w:rFonts w:ascii="Times New Roman" w:eastAsia="Arial" w:hAnsi="Times New Roman"/>
          <w:sz w:val="24"/>
          <w:szCs w:val="24"/>
        </w:rPr>
        <w:tab/>
      </w:r>
      <w:r w:rsidR="009511C4" w:rsidRPr="002B40FC">
        <w:rPr>
          <w:rFonts w:ascii="Times New Roman" w:eastAsia="Arial" w:hAnsi="Times New Roman"/>
          <w:sz w:val="24"/>
          <w:szCs w:val="24"/>
        </w:rPr>
        <w:t>A concentração de sacarose teve efeito significativo no aparecimento de plantas senescentes (</w:t>
      </w:r>
      <w:r w:rsidR="00C812A1" w:rsidRPr="002B40FC">
        <w:rPr>
          <w:rFonts w:ascii="Times New Roman" w:eastAsia="Arial" w:hAnsi="Times New Roman"/>
          <w:sz w:val="24"/>
          <w:szCs w:val="24"/>
        </w:rPr>
        <w:t xml:space="preserve">Figura </w:t>
      </w:r>
      <w:r w:rsidR="00A349C7" w:rsidRPr="002B40FC">
        <w:rPr>
          <w:rFonts w:ascii="Times New Roman" w:eastAsia="Arial" w:hAnsi="Times New Roman"/>
          <w:sz w:val="24"/>
          <w:szCs w:val="24"/>
        </w:rPr>
        <w:t>6</w:t>
      </w:r>
      <w:r w:rsidR="009511C4" w:rsidRPr="002B40FC">
        <w:rPr>
          <w:rFonts w:ascii="Times New Roman" w:eastAsia="Arial" w:hAnsi="Times New Roman"/>
          <w:sz w:val="24"/>
          <w:szCs w:val="24"/>
        </w:rPr>
        <w:t xml:space="preserve">A) e com calogênese (Figura </w:t>
      </w:r>
      <w:r w:rsidR="00C812A1" w:rsidRPr="002B40FC">
        <w:rPr>
          <w:rFonts w:ascii="Times New Roman" w:eastAsia="Arial" w:hAnsi="Times New Roman"/>
          <w:sz w:val="24"/>
          <w:szCs w:val="24"/>
        </w:rPr>
        <w:t>6</w:t>
      </w:r>
      <w:r w:rsidR="009511C4" w:rsidRPr="002B40FC">
        <w:rPr>
          <w:rFonts w:ascii="Times New Roman" w:eastAsia="Arial" w:hAnsi="Times New Roman"/>
          <w:sz w:val="24"/>
          <w:szCs w:val="24"/>
        </w:rPr>
        <w:t>B) onde a maior incidência de calos surgiu quando utilizou-se as concentrações 0; 15 e 20 g.L</w:t>
      </w:r>
      <w:r w:rsidR="009511C4" w:rsidRPr="002B40FC">
        <w:rPr>
          <w:rFonts w:ascii="Times New Roman" w:eastAsia="Arial" w:hAnsi="Times New Roman"/>
          <w:sz w:val="24"/>
          <w:szCs w:val="24"/>
          <w:vertAlign w:val="superscript"/>
        </w:rPr>
        <w:t>-1</w:t>
      </w:r>
      <w:r w:rsidR="009511C4" w:rsidRPr="002B40FC">
        <w:rPr>
          <w:rFonts w:ascii="Times New Roman" w:eastAsia="Arial" w:hAnsi="Times New Roman"/>
          <w:sz w:val="24"/>
          <w:szCs w:val="24"/>
        </w:rPr>
        <w:t xml:space="preserve"> respectivamente 1,42; 1,45 e 1,43 e a </w:t>
      </w:r>
      <w:r w:rsidR="0078518C" w:rsidRPr="002B40FC">
        <w:rPr>
          <w:rFonts w:ascii="Times New Roman" w:eastAsia="Arial" w:hAnsi="Times New Roman"/>
          <w:sz w:val="24"/>
          <w:szCs w:val="24"/>
        </w:rPr>
        <w:t>c</w:t>
      </w:r>
      <w:r w:rsidR="000630E8" w:rsidRPr="002B40FC">
        <w:rPr>
          <w:rFonts w:ascii="Times New Roman" w:eastAsia="Arial" w:hAnsi="Times New Roman"/>
          <w:sz w:val="24"/>
          <w:szCs w:val="24"/>
        </w:rPr>
        <w:t>oncentração</w:t>
      </w:r>
      <w:r w:rsidR="009511C4" w:rsidRPr="002B40FC">
        <w:rPr>
          <w:rFonts w:ascii="Times New Roman" w:eastAsia="Arial" w:hAnsi="Times New Roman"/>
          <w:sz w:val="24"/>
          <w:szCs w:val="24"/>
        </w:rPr>
        <w:t xml:space="preserve"> de 25 g.L</w:t>
      </w:r>
      <w:r w:rsidR="009511C4" w:rsidRPr="002B40FC">
        <w:rPr>
          <w:rFonts w:ascii="Times New Roman" w:eastAsia="Arial" w:hAnsi="Times New Roman"/>
          <w:sz w:val="24"/>
          <w:szCs w:val="24"/>
          <w:vertAlign w:val="superscript"/>
        </w:rPr>
        <w:t>-1</w:t>
      </w:r>
      <w:r w:rsidR="009511C4" w:rsidRPr="002B40FC">
        <w:rPr>
          <w:rFonts w:ascii="Times New Roman" w:eastAsia="Arial" w:hAnsi="Times New Roman"/>
          <w:sz w:val="24"/>
          <w:szCs w:val="24"/>
        </w:rPr>
        <w:t xml:space="preserve"> resultou em uma média de 1,41. Resultado similar foi obtido para plantas senescentes, o maior surgimento dessas, ocorreu nas mesmas doses com os respectivamente valores 1,02; 1,10 e 1,08, enquanto na dose de 25 g.L</w:t>
      </w:r>
      <w:r w:rsidR="009511C4" w:rsidRPr="002B40FC">
        <w:rPr>
          <w:rFonts w:ascii="Times New Roman" w:eastAsia="Arial" w:hAnsi="Times New Roman"/>
          <w:sz w:val="24"/>
          <w:szCs w:val="24"/>
          <w:vertAlign w:val="superscript"/>
        </w:rPr>
        <w:t>-1</w:t>
      </w:r>
      <w:r w:rsidR="009511C4" w:rsidRPr="002B40FC">
        <w:rPr>
          <w:rFonts w:ascii="Times New Roman" w:eastAsia="Arial" w:hAnsi="Times New Roman"/>
          <w:sz w:val="24"/>
          <w:szCs w:val="24"/>
        </w:rPr>
        <w:t xml:space="preserve"> foi 1,00.</w:t>
      </w:r>
    </w:p>
    <w:p w:rsidR="00BC6C48" w:rsidRPr="002B40FC" w:rsidRDefault="0078518C" w:rsidP="00460133">
      <w:pPr>
        <w:autoSpaceDE w:val="0"/>
        <w:autoSpaceDN w:val="0"/>
        <w:adjustRightInd w:val="0"/>
        <w:spacing w:after="0" w:line="360" w:lineRule="auto"/>
        <w:jc w:val="both"/>
        <w:rPr>
          <w:rFonts w:ascii="Times New Roman" w:eastAsia="Arial" w:hAnsi="Times New Roman"/>
          <w:b/>
          <w:sz w:val="24"/>
          <w:szCs w:val="24"/>
        </w:rPr>
      </w:pPr>
      <w:r w:rsidRPr="002B40FC">
        <w:rPr>
          <w:rFonts w:ascii="Times New Roman" w:eastAsia="Arial" w:hAnsi="Times New Roman"/>
          <w:b/>
          <w:noProof/>
          <w:sz w:val="24"/>
          <w:szCs w:val="24"/>
          <w:lang w:eastAsia="pt-BR"/>
        </w:rPr>
        <w:drawing>
          <wp:inline distT="0" distB="0" distL="0" distR="0">
            <wp:extent cx="5725160" cy="2070072"/>
            <wp:effectExtent l="0" t="0" r="0" b="6985"/>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a 5.jpg"/>
                    <pic:cNvPicPr/>
                  </pic:nvPicPr>
                  <pic:blipFill rotWithShape="1">
                    <a:blip r:embed="rId20" cstate="print">
                      <a:extLst>
                        <a:ext uri="{BEBA8EAE-BF5A-486C-A8C5-ECC9F3942E4B}">
                          <a14:imgProps xmlns:a14="http://schemas.microsoft.com/office/drawing/2010/main">
                            <a14:imgLayer r:embed="rId21">
                              <a14:imgEffect>
                                <a14:sharpenSoften amount="50000"/>
                              </a14:imgEffect>
                            </a14:imgLayer>
                          </a14:imgProps>
                        </a:ext>
                        <a:ext uri="{28A0092B-C50C-407E-A947-70E740481C1C}">
                          <a14:useLocalDpi xmlns:a14="http://schemas.microsoft.com/office/drawing/2010/main" val="0"/>
                        </a:ext>
                      </a:extLst>
                    </a:blip>
                    <a:srcRect l="1" t="2569" r="593"/>
                    <a:stretch/>
                  </pic:blipFill>
                  <pic:spPr bwMode="auto">
                    <a:xfrm>
                      <a:off x="0" y="0"/>
                      <a:ext cx="5725289" cy="2070119"/>
                    </a:xfrm>
                    <a:prstGeom prst="rect">
                      <a:avLst/>
                    </a:prstGeom>
                    <a:ln>
                      <a:noFill/>
                    </a:ln>
                    <a:extLst>
                      <a:ext uri="{53640926-AAD7-44D8-BBD7-CCE9431645EC}">
                        <a14:shadowObscured xmlns:a14="http://schemas.microsoft.com/office/drawing/2010/main"/>
                      </a:ext>
                    </a:extLst>
                  </pic:spPr>
                </pic:pic>
              </a:graphicData>
            </a:graphic>
          </wp:inline>
        </w:drawing>
      </w:r>
    </w:p>
    <w:p w:rsidR="00BC6C48" w:rsidRPr="00863862" w:rsidRDefault="00BC6C48" w:rsidP="00460133">
      <w:pPr>
        <w:autoSpaceDE w:val="0"/>
        <w:autoSpaceDN w:val="0"/>
        <w:adjustRightInd w:val="0"/>
        <w:spacing w:after="0" w:line="360" w:lineRule="auto"/>
        <w:jc w:val="both"/>
        <w:rPr>
          <w:rFonts w:ascii="Times New Roman" w:eastAsia="Arial" w:hAnsi="Times New Roman"/>
          <w:sz w:val="20"/>
          <w:szCs w:val="24"/>
        </w:rPr>
      </w:pPr>
      <w:r w:rsidRPr="00863862">
        <w:rPr>
          <w:rFonts w:ascii="Times New Roman" w:eastAsia="Arial" w:hAnsi="Times New Roman"/>
          <w:b/>
          <w:sz w:val="20"/>
          <w:szCs w:val="24"/>
        </w:rPr>
        <w:t xml:space="preserve">Figura </w:t>
      </w:r>
      <w:r w:rsidR="00A349C7" w:rsidRPr="00863862">
        <w:rPr>
          <w:rFonts w:ascii="Times New Roman" w:eastAsia="Arial" w:hAnsi="Times New Roman"/>
          <w:b/>
          <w:sz w:val="20"/>
          <w:szCs w:val="24"/>
        </w:rPr>
        <w:t>6</w:t>
      </w:r>
      <w:r w:rsidRPr="00863862">
        <w:rPr>
          <w:rFonts w:ascii="Times New Roman" w:eastAsia="Arial" w:hAnsi="Times New Roman"/>
          <w:sz w:val="20"/>
          <w:szCs w:val="24"/>
        </w:rPr>
        <w:t xml:space="preserve"> - Presença de plantas senescentes (A); Presença de calos em </w:t>
      </w:r>
      <w:r w:rsidRPr="00863862">
        <w:rPr>
          <w:rFonts w:ascii="Times New Roman" w:eastAsia="Arial" w:hAnsi="Times New Roman"/>
          <w:i/>
          <w:sz w:val="20"/>
          <w:szCs w:val="24"/>
        </w:rPr>
        <w:t>Ochroma pyramidales</w:t>
      </w:r>
      <w:r w:rsidRPr="00863862">
        <w:rPr>
          <w:rFonts w:ascii="Times New Roman" w:eastAsia="Arial" w:hAnsi="Times New Roman"/>
          <w:sz w:val="20"/>
          <w:szCs w:val="24"/>
        </w:rPr>
        <w:t xml:space="preserve"> (B). </w:t>
      </w:r>
    </w:p>
    <w:p w:rsidR="000630E8" w:rsidRPr="00863862" w:rsidRDefault="00BC6C48" w:rsidP="00460133">
      <w:pPr>
        <w:autoSpaceDE w:val="0"/>
        <w:autoSpaceDN w:val="0"/>
        <w:adjustRightInd w:val="0"/>
        <w:spacing w:line="360" w:lineRule="auto"/>
        <w:jc w:val="both"/>
        <w:rPr>
          <w:rFonts w:ascii="Times New Roman" w:eastAsia="Arial" w:hAnsi="Times New Roman"/>
          <w:sz w:val="20"/>
          <w:szCs w:val="24"/>
        </w:rPr>
      </w:pPr>
      <w:r w:rsidRPr="00863862">
        <w:rPr>
          <w:rFonts w:ascii="Times New Roman" w:eastAsia="Arial" w:hAnsi="Times New Roman"/>
          <w:sz w:val="20"/>
          <w:szCs w:val="24"/>
        </w:rPr>
        <w:t>*As médias seguidas de mesma letra não diferem entre si pelo Teste Tukey a 5% de probabilidade.</w:t>
      </w:r>
    </w:p>
    <w:p w:rsidR="00505CCE" w:rsidRDefault="00BC6C48" w:rsidP="00460133">
      <w:pPr>
        <w:spacing w:after="0" w:line="360" w:lineRule="auto"/>
        <w:ind w:firstLine="567"/>
        <w:jc w:val="both"/>
        <w:rPr>
          <w:rFonts w:ascii="Times New Roman" w:eastAsia="Arial" w:hAnsi="Times New Roman"/>
          <w:sz w:val="24"/>
          <w:szCs w:val="24"/>
        </w:rPr>
      </w:pPr>
      <w:r w:rsidRPr="002B40FC">
        <w:rPr>
          <w:rFonts w:ascii="Times New Roman" w:eastAsia="Arial" w:hAnsi="Times New Roman"/>
          <w:sz w:val="24"/>
          <w:szCs w:val="24"/>
        </w:rPr>
        <w:t xml:space="preserve">A calogênese é um evento fisiológico comum na propagação </w:t>
      </w:r>
      <w:r w:rsidRPr="002B40FC">
        <w:rPr>
          <w:rFonts w:ascii="Times New Roman" w:eastAsia="Arial" w:hAnsi="Times New Roman"/>
          <w:i/>
          <w:sz w:val="24"/>
          <w:szCs w:val="24"/>
        </w:rPr>
        <w:t>in vitro</w:t>
      </w:r>
      <w:r w:rsidRPr="002B40FC">
        <w:rPr>
          <w:rFonts w:ascii="Times New Roman" w:eastAsia="Arial" w:hAnsi="Times New Roman"/>
          <w:sz w:val="24"/>
          <w:szCs w:val="24"/>
        </w:rPr>
        <w:t xml:space="preserve"> de espécies lenhosas e relevante em estudos de variabilidade somaclonal nos programas de melhoramento</w:t>
      </w:r>
      <w:r w:rsidR="00215E84" w:rsidRPr="002B40FC">
        <w:rPr>
          <w:rFonts w:ascii="Times New Roman" w:eastAsia="Arial" w:hAnsi="Times New Roman"/>
          <w:sz w:val="24"/>
          <w:szCs w:val="24"/>
        </w:rPr>
        <w:t xml:space="preserve"> genético. Apesar disso, não é, </w:t>
      </w:r>
      <w:r w:rsidRPr="002B40FC">
        <w:rPr>
          <w:rFonts w:ascii="Times New Roman" w:eastAsia="Arial" w:hAnsi="Times New Roman"/>
          <w:sz w:val="24"/>
          <w:szCs w:val="24"/>
        </w:rPr>
        <w:t>considerada favorável na micropropagação, de acordo com Bassan et al., (2006)</w:t>
      </w:r>
      <w:r w:rsidR="00505CCE">
        <w:rPr>
          <w:rFonts w:ascii="Times New Roman" w:eastAsia="Arial" w:hAnsi="Times New Roman"/>
          <w:sz w:val="24"/>
          <w:szCs w:val="24"/>
        </w:rPr>
        <w:t xml:space="preserve"> (Figura 7)</w:t>
      </w:r>
      <w:r w:rsidRPr="002B40FC">
        <w:rPr>
          <w:rFonts w:ascii="Times New Roman" w:eastAsia="Arial" w:hAnsi="Times New Roman"/>
          <w:sz w:val="24"/>
          <w:szCs w:val="24"/>
        </w:rPr>
        <w:t xml:space="preserve">. </w:t>
      </w:r>
    </w:p>
    <w:p w:rsidR="00505CCE" w:rsidRPr="00036A25" w:rsidRDefault="00B35E90" w:rsidP="00A87189">
      <w:pPr>
        <w:autoSpaceDE w:val="0"/>
        <w:autoSpaceDN w:val="0"/>
        <w:adjustRightInd w:val="0"/>
        <w:spacing w:line="360" w:lineRule="auto"/>
        <w:jc w:val="both"/>
        <w:rPr>
          <w:rFonts w:ascii="Times New Roman" w:eastAsia="Arial" w:hAnsi="Times New Roman"/>
          <w:b/>
          <w:sz w:val="20"/>
          <w:szCs w:val="24"/>
        </w:rPr>
      </w:pPr>
      <w:bookmarkStart w:id="0" w:name="_GoBack"/>
      <w:r>
        <w:rPr>
          <w:rFonts w:ascii="Times New Roman" w:eastAsia="Arial" w:hAnsi="Times New Roman"/>
          <w:b/>
          <w:noProof/>
          <w:sz w:val="20"/>
          <w:szCs w:val="24"/>
          <w:lang w:eastAsia="pt-BR"/>
        </w:rPr>
        <w:drawing>
          <wp:inline distT="0" distB="0" distL="0" distR="0">
            <wp:extent cx="5759450" cy="1706491"/>
            <wp:effectExtent l="0" t="0" r="0" b="825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jpg"/>
                    <pic:cNvPicPr/>
                  </pic:nvPicPr>
                  <pic:blipFill rotWithShape="1">
                    <a:blip r:embed="rId22">
                      <a:extLst>
                        <a:ext uri="{28A0092B-C50C-407E-A947-70E740481C1C}">
                          <a14:useLocalDpi xmlns:a14="http://schemas.microsoft.com/office/drawing/2010/main" val="0"/>
                        </a:ext>
                      </a:extLst>
                    </a:blip>
                    <a:srcRect b="54528"/>
                    <a:stretch/>
                  </pic:blipFill>
                  <pic:spPr bwMode="auto">
                    <a:xfrm>
                      <a:off x="0" y="0"/>
                      <a:ext cx="5759450" cy="1706491"/>
                    </a:xfrm>
                    <a:prstGeom prst="rect">
                      <a:avLst/>
                    </a:prstGeom>
                    <a:ln>
                      <a:noFill/>
                    </a:ln>
                    <a:extLst>
                      <a:ext uri="{53640926-AAD7-44D8-BBD7-CCE9431645EC}">
                        <a14:shadowObscured xmlns:a14="http://schemas.microsoft.com/office/drawing/2010/main"/>
                      </a:ext>
                    </a:extLst>
                  </pic:spPr>
                </pic:pic>
              </a:graphicData>
            </a:graphic>
          </wp:inline>
        </w:drawing>
      </w:r>
      <w:bookmarkEnd w:id="0"/>
      <w:r w:rsidR="00505CCE" w:rsidRPr="00863862">
        <w:rPr>
          <w:rFonts w:ascii="Times New Roman" w:eastAsia="Arial" w:hAnsi="Times New Roman"/>
          <w:b/>
          <w:sz w:val="20"/>
          <w:szCs w:val="24"/>
        </w:rPr>
        <w:t xml:space="preserve">Figura </w:t>
      </w:r>
      <w:r w:rsidR="00505CCE">
        <w:rPr>
          <w:rFonts w:ascii="Times New Roman" w:eastAsia="Arial" w:hAnsi="Times New Roman"/>
          <w:b/>
          <w:sz w:val="20"/>
          <w:szCs w:val="24"/>
        </w:rPr>
        <w:t>7</w:t>
      </w:r>
      <w:r w:rsidR="00A87189">
        <w:rPr>
          <w:rFonts w:ascii="Times New Roman" w:eastAsia="Arial" w:hAnsi="Times New Roman"/>
          <w:sz w:val="20"/>
          <w:szCs w:val="24"/>
        </w:rPr>
        <w:t xml:space="preserve"> - </w:t>
      </w:r>
      <w:r w:rsidR="00505CCE" w:rsidRPr="00863862">
        <w:rPr>
          <w:rFonts w:ascii="Times New Roman" w:eastAsia="Arial" w:hAnsi="Times New Roman"/>
          <w:sz w:val="20"/>
          <w:szCs w:val="24"/>
        </w:rPr>
        <w:t xml:space="preserve">Presença de calos em </w:t>
      </w:r>
      <w:r w:rsidR="00505CCE" w:rsidRPr="00863862">
        <w:rPr>
          <w:rFonts w:ascii="Times New Roman" w:eastAsia="Arial" w:hAnsi="Times New Roman"/>
          <w:i/>
          <w:sz w:val="20"/>
          <w:szCs w:val="24"/>
        </w:rPr>
        <w:t>Ochroma pyramidales</w:t>
      </w:r>
      <w:r w:rsidR="00505CCE" w:rsidRPr="00863862">
        <w:rPr>
          <w:rFonts w:ascii="Times New Roman" w:eastAsia="Arial" w:hAnsi="Times New Roman"/>
          <w:sz w:val="20"/>
          <w:szCs w:val="24"/>
        </w:rPr>
        <w:t xml:space="preserve"> </w:t>
      </w:r>
      <w:r w:rsidR="00A87189">
        <w:rPr>
          <w:rFonts w:ascii="Times New Roman" w:eastAsia="Arial" w:hAnsi="Times New Roman"/>
          <w:sz w:val="20"/>
          <w:szCs w:val="24"/>
        </w:rPr>
        <w:t>no T2</w:t>
      </w:r>
      <w:r w:rsidR="00505CCE" w:rsidRPr="00863862">
        <w:rPr>
          <w:rFonts w:ascii="Times New Roman" w:eastAsia="Arial" w:hAnsi="Times New Roman"/>
          <w:sz w:val="20"/>
          <w:szCs w:val="24"/>
        </w:rPr>
        <w:t xml:space="preserve">. </w:t>
      </w:r>
    </w:p>
    <w:p w:rsidR="00A87189" w:rsidRDefault="00BC6C48" w:rsidP="00A87189">
      <w:pPr>
        <w:autoSpaceDE w:val="0"/>
        <w:autoSpaceDN w:val="0"/>
        <w:adjustRightInd w:val="0"/>
        <w:spacing w:after="0" w:line="360" w:lineRule="auto"/>
        <w:ind w:firstLine="567"/>
        <w:jc w:val="both"/>
        <w:rPr>
          <w:rFonts w:ascii="Times New Roman" w:eastAsia="Arial" w:hAnsi="Times New Roman"/>
          <w:sz w:val="20"/>
          <w:szCs w:val="24"/>
        </w:rPr>
      </w:pPr>
      <w:r w:rsidRPr="002B40FC">
        <w:rPr>
          <w:rFonts w:ascii="Times New Roman" w:eastAsia="Arial" w:hAnsi="Times New Roman"/>
          <w:sz w:val="24"/>
          <w:szCs w:val="24"/>
        </w:rPr>
        <w:t xml:space="preserve">Células e tecidos cultivados </w:t>
      </w:r>
      <w:r w:rsidRPr="002B40FC">
        <w:rPr>
          <w:rFonts w:ascii="Times New Roman" w:eastAsia="Arial" w:hAnsi="Times New Roman"/>
          <w:i/>
          <w:sz w:val="24"/>
          <w:szCs w:val="24"/>
        </w:rPr>
        <w:t xml:space="preserve">in vitro </w:t>
      </w:r>
      <w:r w:rsidRPr="002B40FC">
        <w:rPr>
          <w:rFonts w:ascii="Times New Roman" w:eastAsia="Arial" w:hAnsi="Times New Roman"/>
          <w:sz w:val="24"/>
          <w:szCs w:val="24"/>
        </w:rPr>
        <w:t xml:space="preserve">não são autotróficos, necessitando de uma fonte externa de carbono no meio para o crescimento e multiplicação celular. O açúcar atua não </w:t>
      </w:r>
      <w:r w:rsidRPr="002B40FC">
        <w:rPr>
          <w:rFonts w:ascii="Times New Roman" w:eastAsia="Arial" w:hAnsi="Times New Roman"/>
          <w:sz w:val="24"/>
          <w:szCs w:val="24"/>
        </w:rPr>
        <w:lastRenderedPageBreak/>
        <w:t>apenas como fonte trófica, mas também como regulador osmótico do meio de cultura, influenciando diretamente no crescimento e morfogênese das culturas (PILATTI, 2011).</w:t>
      </w:r>
    </w:p>
    <w:p w:rsidR="00BC6C48" w:rsidRPr="00A87189" w:rsidRDefault="00BC6C48" w:rsidP="00A87189">
      <w:pPr>
        <w:autoSpaceDE w:val="0"/>
        <w:autoSpaceDN w:val="0"/>
        <w:adjustRightInd w:val="0"/>
        <w:spacing w:after="0" w:line="360" w:lineRule="auto"/>
        <w:ind w:firstLine="567"/>
        <w:jc w:val="both"/>
        <w:rPr>
          <w:rFonts w:ascii="Times New Roman" w:eastAsia="Arial" w:hAnsi="Times New Roman"/>
          <w:sz w:val="20"/>
          <w:szCs w:val="24"/>
        </w:rPr>
      </w:pPr>
      <w:r w:rsidRPr="002B40FC">
        <w:rPr>
          <w:rFonts w:ascii="Times New Roman" w:eastAsia="Arial" w:hAnsi="Times New Roman"/>
          <w:sz w:val="24"/>
          <w:szCs w:val="24"/>
        </w:rPr>
        <w:t xml:space="preserve">Pereira et al., (2003) afirmam que a </w:t>
      </w:r>
      <w:r w:rsidRPr="002B40FC">
        <w:rPr>
          <w:rFonts w:ascii="Times New Roman" w:hAnsi="Times New Roman"/>
          <w:sz w:val="24"/>
          <w:szCs w:val="24"/>
        </w:rPr>
        <w:t xml:space="preserve">sacarose influência nos processos de iniciação e diferenciação de embriões somáticos. </w:t>
      </w:r>
      <w:r w:rsidRPr="002B40FC">
        <w:rPr>
          <w:rFonts w:ascii="Times New Roman" w:eastAsia="Arial" w:hAnsi="Times New Roman"/>
          <w:sz w:val="24"/>
          <w:szCs w:val="24"/>
        </w:rPr>
        <w:t xml:space="preserve">Ribeiro et al., (2015) relataram, que a concentração de sacarose influencia diretamente a formação de calos em </w:t>
      </w:r>
      <w:r w:rsidRPr="002B40FC">
        <w:rPr>
          <w:rFonts w:ascii="Times New Roman" w:eastAsia="Arial" w:hAnsi="Times New Roman"/>
          <w:i/>
          <w:sz w:val="24"/>
          <w:szCs w:val="24"/>
        </w:rPr>
        <w:t>Pfaffia glomerata</w:t>
      </w:r>
      <w:r w:rsidRPr="002B40FC">
        <w:rPr>
          <w:rFonts w:ascii="Times New Roman" w:eastAsia="Arial" w:hAnsi="Times New Roman"/>
          <w:sz w:val="24"/>
          <w:szCs w:val="24"/>
        </w:rPr>
        <w:t>.</w:t>
      </w:r>
    </w:p>
    <w:p w:rsidR="00BC6C48" w:rsidRDefault="00BC6C48" w:rsidP="00460133">
      <w:pPr>
        <w:autoSpaceDE w:val="0"/>
        <w:autoSpaceDN w:val="0"/>
        <w:adjustRightInd w:val="0"/>
        <w:spacing w:after="0" w:line="360" w:lineRule="auto"/>
        <w:ind w:firstLine="567"/>
        <w:jc w:val="both"/>
        <w:rPr>
          <w:rFonts w:ascii="Times New Roman" w:eastAsia="Arial" w:hAnsi="Times New Roman"/>
          <w:sz w:val="24"/>
          <w:szCs w:val="24"/>
        </w:rPr>
      </w:pPr>
      <w:r w:rsidRPr="002B40FC">
        <w:rPr>
          <w:rFonts w:ascii="Times New Roman" w:eastAsia="Arial" w:hAnsi="Times New Roman"/>
          <w:sz w:val="24"/>
          <w:szCs w:val="24"/>
        </w:rPr>
        <w:t>A variável contaminação foi influenciada significativamente pela concentração de sais do meio MS, os resultados demonstram que o meio com 100% de sais apresentou o maior índice de contaminação (49%), enquanto o meio suplementado com 50% de sais resultou em um índice de contaminação menor (33,8%), sendo estes tratamentos difere</w:t>
      </w:r>
      <w:r w:rsidR="008329EC" w:rsidRPr="002B40FC">
        <w:rPr>
          <w:rFonts w:ascii="Times New Roman" w:eastAsia="Arial" w:hAnsi="Times New Roman"/>
          <w:sz w:val="24"/>
          <w:szCs w:val="24"/>
        </w:rPr>
        <w:t>ntes entre si estatisticamente.</w:t>
      </w:r>
    </w:p>
    <w:p w:rsidR="00863862" w:rsidRPr="002B40FC" w:rsidRDefault="00863862" w:rsidP="00460133">
      <w:pPr>
        <w:autoSpaceDE w:val="0"/>
        <w:autoSpaceDN w:val="0"/>
        <w:adjustRightInd w:val="0"/>
        <w:spacing w:after="0" w:line="360" w:lineRule="auto"/>
        <w:ind w:firstLine="567"/>
        <w:jc w:val="both"/>
        <w:rPr>
          <w:rFonts w:ascii="Times New Roman" w:eastAsia="Arial" w:hAnsi="Times New Roman"/>
          <w:sz w:val="24"/>
          <w:szCs w:val="24"/>
        </w:rPr>
      </w:pPr>
    </w:p>
    <w:p w:rsidR="00BC6C48" w:rsidRPr="002B40FC" w:rsidRDefault="0024369A" w:rsidP="00460133">
      <w:pPr>
        <w:autoSpaceDE w:val="0"/>
        <w:autoSpaceDN w:val="0"/>
        <w:adjustRightInd w:val="0"/>
        <w:spacing w:after="0" w:line="360" w:lineRule="auto"/>
        <w:jc w:val="both"/>
        <w:rPr>
          <w:rFonts w:ascii="Times New Roman" w:eastAsia="Arial" w:hAnsi="Times New Roman"/>
          <w:b/>
          <w:sz w:val="24"/>
          <w:szCs w:val="24"/>
        </w:rPr>
      </w:pPr>
      <w:r w:rsidRPr="002B40FC">
        <w:rPr>
          <w:rFonts w:ascii="Times New Roman" w:eastAsia="Arial" w:hAnsi="Times New Roman"/>
          <w:b/>
          <w:sz w:val="24"/>
          <w:szCs w:val="24"/>
        </w:rPr>
        <w:t>CONCLUSÃO</w:t>
      </w:r>
    </w:p>
    <w:p w:rsidR="00BC6C48" w:rsidRPr="002B40FC" w:rsidRDefault="00BC6C48" w:rsidP="00460133">
      <w:pPr>
        <w:autoSpaceDE w:val="0"/>
        <w:autoSpaceDN w:val="0"/>
        <w:adjustRightInd w:val="0"/>
        <w:spacing w:after="0" w:line="360" w:lineRule="auto"/>
        <w:ind w:firstLine="567"/>
        <w:jc w:val="both"/>
        <w:rPr>
          <w:rFonts w:ascii="Times New Roman" w:eastAsia="Arial" w:hAnsi="Times New Roman"/>
          <w:sz w:val="24"/>
          <w:szCs w:val="24"/>
        </w:rPr>
      </w:pPr>
      <w:r w:rsidRPr="002B40FC">
        <w:rPr>
          <w:rFonts w:ascii="Times New Roman" w:eastAsia="Arial" w:hAnsi="Times New Roman"/>
          <w:sz w:val="24"/>
          <w:szCs w:val="24"/>
        </w:rPr>
        <w:t xml:space="preserve">Existe influência da concentração do meio MS e da sacarose no estabelecimento </w:t>
      </w:r>
      <w:r w:rsidRPr="002B40FC">
        <w:rPr>
          <w:rFonts w:ascii="Times New Roman" w:eastAsia="Arial" w:hAnsi="Times New Roman"/>
          <w:i/>
          <w:sz w:val="24"/>
          <w:szCs w:val="24"/>
        </w:rPr>
        <w:t xml:space="preserve">in vitro </w:t>
      </w:r>
      <w:r w:rsidRPr="002B40FC">
        <w:rPr>
          <w:rFonts w:ascii="Times New Roman" w:eastAsia="Arial" w:hAnsi="Times New Roman"/>
          <w:sz w:val="24"/>
          <w:szCs w:val="24"/>
        </w:rPr>
        <w:t xml:space="preserve">do </w:t>
      </w:r>
      <w:r w:rsidR="00592405">
        <w:rPr>
          <w:rFonts w:ascii="Times New Roman" w:eastAsia="Arial" w:hAnsi="Times New Roman"/>
          <w:i/>
          <w:sz w:val="24"/>
          <w:szCs w:val="24"/>
        </w:rPr>
        <w:t>Ochroma py</w:t>
      </w:r>
      <w:r w:rsidRPr="002B40FC">
        <w:rPr>
          <w:rFonts w:ascii="Times New Roman" w:eastAsia="Arial" w:hAnsi="Times New Roman"/>
          <w:i/>
          <w:sz w:val="24"/>
          <w:szCs w:val="24"/>
        </w:rPr>
        <w:t xml:space="preserve">ramidale. </w:t>
      </w:r>
      <w:r w:rsidRPr="002B40FC">
        <w:rPr>
          <w:rFonts w:ascii="Times New Roman" w:eastAsia="Arial" w:hAnsi="Times New Roman"/>
          <w:sz w:val="24"/>
          <w:szCs w:val="24"/>
        </w:rPr>
        <w:t xml:space="preserve">As sementes de pau-de-balsa, não apresentam comportamento exigente, na germinação </w:t>
      </w:r>
      <w:r w:rsidRPr="002B40FC">
        <w:rPr>
          <w:rFonts w:ascii="Times New Roman" w:eastAsia="Arial" w:hAnsi="Times New Roman"/>
          <w:i/>
          <w:sz w:val="24"/>
          <w:szCs w:val="24"/>
        </w:rPr>
        <w:t>in vitro</w:t>
      </w:r>
      <w:r w:rsidRPr="002B40FC">
        <w:rPr>
          <w:rFonts w:ascii="Times New Roman" w:eastAsia="Arial" w:hAnsi="Times New Roman"/>
          <w:sz w:val="24"/>
          <w:szCs w:val="24"/>
        </w:rPr>
        <w:t>, tendo par de folhas, comprimento radicular, comprimento de parte aérea, massa seca e fresca, além dos menores valores de calogênese, plantas senescentes, e contaminação, obtidos, quando a espécie foi submetida a baixa disponibilidade de sais minerais e sacarose.</w:t>
      </w:r>
    </w:p>
    <w:p w:rsidR="00D6414F" w:rsidRPr="002B40FC" w:rsidRDefault="00D6414F" w:rsidP="00460133">
      <w:pPr>
        <w:spacing w:after="0" w:line="360" w:lineRule="auto"/>
        <w:ind w:firstLine="567"/>
        <w:jc w:val="both"/>
        <w:rPr>
          <w:rFonts w:ascii="Times New Roman" w:eastAsia="Arial" w:hAnsi="Times New Roman"/>
          <w:sz w:val="24"/>
          <w:szCs w:val="24"/>
        </w:rPr>
      </w:pPr>
      <w:r w:rsidRPr="002B40FC">
        <w:rPr>
          <w:rFonts w:ascii="Times New Roman" w:eastAsia="Arial" w:hAnsi="Times New Roman"/>
          <w:sz w:val="24"/>
          <w:szCs w:val="24"/>
        </w:rPr>
        <w:t>Os melhores tratamentos, para a maioria das variáveis, foram os que continham 50% do meio MS e as menores doses de sacarose, sendo eles, T1, T2 e T3.</w:t>
      </w:r>
    </w:p>
    <w:p w:rsidR="00D6414F" w:rsidRPr="002B40FC" w:rsidRDefault="00D6414F" w:rsidP="00460133">
      <w:pPr>
        <w:tabs>
          <w:tab w:val="left" w:pos="567"/>
        </w:tabs>
        <w:spacing w:after="0" w:line="360" w:lineRule="auto"/>
        <w:jc w:val="both"/>
        <w:rPr>
          <w:rFonts w:ascii="Times New Roman" w:eastAsia="Arial" w:hAnsi="Times New Roman"/>
          <w:b/>
          <w:sz w:val="24"/>
          <w:szCs w:val="24"/>
        </w:rPr>
      </w:pPr>
    </w:p>
    <w:p w:rsidR="00D6414F" w:rsidRPr="002B40FC" w:rsidRDefault="0024369A" w:rsidP="00460133">
      <w:pPr>
        <w:tabs>
          <w:tab w:val="left" w:pos="567"/>
        </w:tabs>
        <w:spacing w:after="0" w:line="360" w:lineRule="auto"/>
        <w:jc w:val="both"/>
        <w:rPr>
          <w:rFonts w:ascii="Times New Roman" w:eastAsia="Arial" w:hAnsi="Times New Roman"/>
          <w:b/>
          <w:sz w:val="24"/>
          <w:szCs w:val="24"/>
        </w:rPr>
      </w:pPr>
      <w:r w:rsidRPr="002B40FC">
        <w:rPr>
          <w:rFonts w:ascii="Times New Roman" w:eastAsia="Arial" w:hAnsi="Times New Roman"/>
          <w:b/>
          <w:sz w:val="24"/>
          <w:szCs w:val="24"/>
        </w:rPr>
        <w:t>AGRADECIMENTOS</w:t>
      </w:r>
    </w:p>
    <w:p w:rsidR="000B488D" w:rsidRPr="002B40FC" w:rsidRDefault="00D6414F" w:rsidP="00460133">
      <w:pPr>
        <w:spacing w:after="0" w:line="360" w:lineRule="auto"/>
        <w:ind w:firstLine="567"/>
        <w:jc w:val="both"/>
        <w:rPr>
          <w:rFonts w:ascii="Times New Roman" w:eastAsia="Arial" w:hAnsi="Times New Roman"/>
          <w:sz w:val="24"/>
          <w:szCs w:val="24"/>
        </w:rPr>
      </w:pPr>
      <w:r w:rsidRPr="002B40FC">
        <w:rPr>
          <w:rFonts w:ascii="Times New Roman" w:eastAsia="Arial" w:hAnsi="Times New Roman"/>
          <w:sz w:val="24"/>
          <w:szCs w:val="24"/>
        </w:rPr>
        <w:t>À Universidade Estadual de Goiás, pelo incentivo na forma de bolsa de iniciação científica (programa PBIC/UEG) e ao grupo de pesquisa Biogen Cerrado - UEG/Câmpus Ipameri.</w:t>
      </w:r>
    </w:p>
    <w:p w:rsidR="000630E8" w:rsidRPr="002B40FC" w:rsidRDefault="000630E8" w:rsidP="00460133">
      <w:pPr>
        <w:spacing w:after="0" w:line="360" w:lineRule="auto"/>
        <w:ind w:firstLine="567"/>
        <w:jc w:val="both"/>
        <w:rPr>
          <w:rFonts w:ascii="Times New Roman" w:hAnsi="Times New Roman"/>
          <w:b/>
          <w:sz w:val="24"/>
          <w:szCs w:val="24"/>
          <w:lang w:eastAsia="pt-BR"/>
        </w:rPr>
      </w:pPr>
    </w:p>
    <w:p w:rsidR="000B488D" w:rsidRPr="002B40FC" w:rsidRDefault="0024369A" w:rsidP="00460133">
      <w:pPr>
        <w:spacing w:after="0" w:line="360" w:lineRule="auto"/>
        <w:jc w:val="both"/>
        <w:rPr>
          <w:rFonts w:ascii="Times New Roman" w:hAnsi="Times New Roman"/>
          <w:b/>
          <w:sz w:val="24"/>
          <w:szCs w:val="24"/>
          <w:lang w:eastAsia="pt-BR"/>
        </w:rPr>
      </w:pPr>
      <w:r w:rsidRPr="002B40FC">
        <w:rPr>
          <w:rFonts w:ascii="Times New Roman" w:hAnsi="Times New Roman"/>
          <w:b/>
          <w:sz w:val="24"/>
          <w:szCs w:val="24"/>
          <w:lang w:eastAsia="pt-BR"/>
        </w:rPr>
        <w:t>REFERÊNCIAS BIBLIOGRÁFICAS</w:t>
      </w:r>
    </w:p>
    <w:p w:rsidR="00653AB9" w:rsidRPr="00653AB9" w:rsidRDefault="003F6D76" w:rsidP="00460133">
      <w:pPr>
        <w:spacing w:line="360" w:lineRule="auto"/>
        <w:jc w:val="both"/>
        <w:rPr>
          <w:rFonts w:ascii="Times New Roman" w:eastAsia="Arial" w:hAnsi="Times New Roman"/>
          <w:sz w:val="24"/>
          <w:szCs w:val="24"/>
          <w:shd w:val="clear" w:color="auto" w:fill="FFFFFF"/>
        </w:rPr>
      </w:pPr>
      <w:r w:rsidRPr="002B40FC">
        <w:rPr>
          <w:rFonts w:ascii="Times New Roman" w:eastAsia="Arial" w:hAnsi="Times New Roman"/>
          <w:sz w:val="24"/>
          <w:szCs w:val="24"/>
          <w:shd w:val="clear" w:color="auto" w:fill="FFFFFF"/>
        </w:rPr>
        <w:t>ARAÚ</w:t>
      </w:r>
      <w:r w:rsidR="00D6414F" w:rsidRPr="002B40FC">
        <w:rPr>
          <w:rFonts w:ascii="Times New Roman" w:eastAsia="Arial" w:hAnsi="Times New Roman"/>
          <w:sz w:val="24"/>
          <w:szCs w:val="24"/>
          <w:shd w:val="clear" w:color="auto" w:fill="FFFFFF"/>
        </w:rPr>
        <w:t xml:space="preserve">JO, A, G.; FIORINE, C. V. A.; PASQUAL, M.; SILVA, B. A.; VILLA, F. Multiplicação </w:t>
      </w:r>
      <w:r w:rsidR="00D6414F" w:rsidRPr="002B40FC">
        <w:rPr>
          <w:rFonts w:ascii="Times New Roman" w:eastAsia="Arial" w:hAnsi="Times New Roman"/>
          <w:i/>
          <w:sz w:val="24"/>
          <w:szCs w:val="24"/>
          <w:shd w:val="clear" w:color="auto" w:fill="FFFFFF"/>
        </w:rPr>
        <w:t>in vitro</w:t>
      </w:r>
      <w:r w:rsidR="00D6414F" w:rsidRPr="002B40FC">
        <w:rPr>
          <w:rFonts w:ascii="Times New Roman" w:eastAsia="Arial" w:hAnsi="Times New Roman"/>
          <w:sz w:val="24"/>
          <w:szCs w:val="24"/>
          <w:shd w:val="clear" w:color="auto" w:fill="FFFFFF"/>
        </w:rPr>
        <w:t xml:space="preserve"> de gloxínia (</w:t>
      </w:r>
      <w:r w:rsidR="00D6414F" w:rsidRPr="002B40FC">
        <w:rPr>
          <w:rFonts w:ascii="Times New Roman" w:eastAsia="Arial" w:hAnsi="Times New Roman"/>
          <w:i/>
          <w:sz w:val="24"/>
          <w:szCs w:val="24"/>
          <w:shd w:val="clear" w:color="auto" w:fill="FFFFFF"/>
        </w:rPr>
        <w:t xml:space="preserve">Sinningia speciosa </w:t>
      </w:r>
      <w:r w:rsidR="00D6414F" w:rsidRPr="002B40FC">
        <w:rPr>
          <w:rFonts w:ascii="Times New Roman" w:eastAsia="Arial" w:hAnsi="Times New Roman"/>
          <w:sz w:val="24"/>
          <w:szCs w:val="24"/>
          <w:shd w:val="clear" w:color="auto" w:fill="FFFFFF"/>
        </w:rPr>
        <w:t xml:space="preserve">Lood. Hiern.). </w:t>
      </w:r>
      <w:r w:rsidR="00D6414F" w:rsidRPr="002B40FC">
        <w:rPr>
          <w:rFonts w:ascii="Times New Roman" w:eastAsia="Arial" w:hAnsi="Times New Roman"/>
          <w:b/>
          <w:sz w:val="24"/>
          <w:szCs w:val="24"/>
          <w:shd w:val="clear" w:color="auto" w:fill="FFFFFF"/>
        </w:rPr>
        <w:t>Ceres</w:t>
      </w:r>
      <w:r w:rsidR="00D6414F" w:rsidRPr="002B40FC">
        <w:rPr>
          <w:rFonts w:ascii="Times New Roman" w:eastAsia="Arial" w:hAnsi="Times New Roman"/>
          <w:sz w:val="24"/>
          <w:szCs w:val="24"/>
          <w:shd w:val="clear" w:color="auto" w:fill="FFFFFF"/>
        </w:rPr>
        <w:t xml:space="preserve">, Viçosa, </w:t>
      </w:r>
      <w:r w:rsidR="00242DA2" w:rsidRPr="002B40FC">
        <w:rPr>
          <w:rFonts w:ascii="Times New Roman" w:eastAsia="Arial" w:hAnsi="Times New Roman"/>
          <w:sz w:val="24"/>
          <w:szCs w:val="24"/>
          <w:shd w:val="clear" w:color="auto" w:fill="FFFFFF"/>
        </w:rPr>
        <w:t>v. 51, n. 293, p.</w:t>
      </w:r>
      <w:r w:rsidR="00810ECF">
        <w:rPr>
          <w:rFonts w:ascii="Times New Roman" w:eastAsia="Arial" w:hAnsi="Times New Roman"/>
          <w:sz w:val="24"/>
          <w:szCs w:val="24"/>
          <w:shd w:val="clear" w:color="auto" w:fill="FFFFFF"/>
        </w:rPr>
        <w:t xml:space="preserve"> </w:t>
      </w:r>
      <w:r w:rsidR="00242DA2" w:rsidRPr="002B40FC">
        <w:rPr>
          <w:rFonts w:ascii="Times New Roman" w:eastAsia="Arial" w:hAnsi="Times New Roman"/>
          <w:sz w:val="24"/>
          <w:szCs w:val="24"/>
          <w:shd w:val="clear" w:color="auto" w:fill="FFFFFF"/>
        </w:rPr>
        <w:t>117-127, 2015.</w:t>
      </w:r>
    </w:p>
    <w:p w:rsidR="00D6414F" w:rsidRPr="002B40FC" w:rsidRDefault="00D6414F" w:rsidP="00460133">
      <w:pPr>
        <w:spacing w:line="360" w:lineRule="auto"/>
        <w:jc w:val="both"/>
        <w:rPr>
          <w:rFonts w:ascii="Times New Roman" w:eastAsia="Times New Roman" w:hAnsi="Times New Roman"/>
          <w:kern w:val="1"/>
          <w:sz w:val="24"/>
          <w:szCs w:val="24"/>
          <w:shd w:val="clear" w:color="auto" w:fill="FFFFFF"/>
          <w:lang w:eastAsia="pt-BR"/>
        </w:rPr>
      </w:pPr>
      <w:r w:rsidRPr="002B40FC">
        <w:rPr>
          <w:rFonts w:ascii="Times New Roman" w:eastAsia="Times New Roman" w:hAnsi="Times New Roman"/>
          <w:kern w:val="1"/>
          <w:sz w:val="24"/>
          <w:szCs w:val="24"/>
          <w:shd w:val="clear" w:color="auto" w:fill="FFFFFF"/>
          <w:lang w:eastAsia="pt-BR"/>
        </w:rPr>
        <w:t xml:space="preserve">BASSAN, J. S.; REINIGER, L. R. S.; ROCHA, B. H. G.; SEVERO, C. R. P.; FLÔRES, A. V. Oxidação fenólica, tipo de explante e meios de cultura no estabelecimento </w:t>
      </w:r>
      <w:r w:rsidRPr="002B40FC">
        <w:rPr>
          <w:rFonts w:ascii="Times New Roman" w:eastAsia="Times New Roman" w:hAnsi="Times New Roman"/>
          <w:i/>
          <w:kern w:val="1"/>
          <w:sz w:val="24"/>
          <w:szCs w:val="24"/>
          <w:shd w:val="clear" w:color="auto" w:fill="FFFFFF"/>
          <w:lang w:eastAsia="pt-BR"/>
        </w:rPr>
        <w:t>in vitro</w:t>
      </w:r>
      <w:r w:rsidRPr="002B40FC">
        <w:rPr>
          <w:rFonts w:ascii="Times New Roman" w:eastAsia="Times New Roman" w:hAnsi="Times New Roman"/>
          <w:kern w:val="1"/>
          <w:sz w:val="24"/>
          <w:szCs w:val="24"/>
          <w:shd w:val="clear" w:color="auto" w:fill="FFFFFF"/>
          <w:lang w:eastAsia="pt-BR"/>
        </w:rPr>
        <w:t xml:space="preserve"> de canafístula (</w:t>
      </w:r>
      <w:r w:rsidRPr="002B40FC">
        <w:rPr>
          <w:rFonts w:ascii="Times New Roman" w:eastAsia="Times New Roman" w:hAnsi="Times New Roman"/>
          <w:i/>
          <w:kern w:val="1"/>
          <w:sz w:val="24"/>
          <w:szCs w:val="24"/>
          <w:shd w:val="clear" w:color="auto" w:fill="FFFFFF"/>
          <w:lang w:eastAsia="pt-BR"/>
        </w:rPr>
        <w:t>Peltophorumdubium</w:t>
      </w:r>
      <w:r w:rsidRPr="002B40FC">
        <w:rPr>
          <w:rFonts w:ascii="Times New Roman" w:eastAsia="Times New Roman" w:hAnsi="Times New Roman"/>
          <w:kern w:val="1"/>
          <w:sz w:val="24"/>
          <w:szCs w:val="24"/>
          <w:shd w:val="clear" w:color="auto" w:fill="FFFFFF"/>
          <w:lang w:eastAsia="pt-BR"/>
        </w:rPr>
        <w:t xml:space="preserve"> (Spreng.) Taub.). </w:t>
      </w:r>
      <w:r w:rsidRPr="002B40FC">
        <w:rPr>
          <w:rFonts w:ascii="Times New Roman" w:eastAsia="Times New Roman" w:hAnsi="Times New Roman"/>
          <w:b/>
          <w:kern w:val="1"/>
          <w:sz w:val="24"/>
          <w:szCs w:val="24"/>
          <w:shd w:val="clear" w:color="auto" w:fill="FFFFFF"/>
          <w:lang w:eastAsia="pt-BR"/>
        </w:rPr>
        <w:t>Ciência Florestal</w:t>
      </w:r>
      <w:r w:rsidRPr="002B40FC">
        <w:rPr>
          <w:rFonts w:ascii="Times New Roman" w:eastAsia="Times New Roman" w:hAnsi="Times New Roman"/>
          <w:kern w:val="1"/>
          <w:sz w:val="24"/>
          <w:szCs w:val="24"/>
          <w:shd w:val="clear" w:color="auto" w:fill="FFFFFF"/>
          <w:lang w:eastAsia="pt-BR"/>
        </w:rPr>
        <w:t>, Santa Maria, v.</w:t>
      </w:r>
      <w:r w:rsidR="00215E84" w:rsidRPr="002B40FC">
        <w:rPr>
          <w:rFonts w:ascii="Times New Roman" w:eastAsia="Times New Roman" w:hAnsi="Times New Roman"/>
          <w:kern w:val="1"/>
          <w:sz w:val="24"/>
          <w:szCs w:val="24"/>
          <w:shd w:val="clear" w:color="auto" w:fill="FFFFFF"/>
          <w:lang w:eastAsia="pt-BR"/>
        </w:rPr>
        <w:t xml:space="preserve"> </w:t>
      </w:r>
      <w:r w:rsidRPr="002B40FC">
        <w:rPr>
          <w:rFonts w:ascii="Times New Roman" w:eastAsia="Times New Roman" w:hAnsi="Times New Roman"/>
          <w:kern w:val="1"/>
          <w:sz w:val="24"/>
          <w:szCs w:val="24"/>
          <w:shd w:val="clear" w:color="auto" w:fill="FFFFFF"/>
          <w:lang w:eastAsia="pt-BR"/>
        </w:rPr>
        <w:t>16,</w:t>
      </w:r>
      <w:r w:rsidR="00810ECF">
        <w:rPr>
          <w:rFonts w:ascii="Times New Roman" w:eastAsia="Times New Roman" w:hAnsi="Times New Roman"/>
          <w:kern w:val="1"/>
          <w:sz w:val="24"/>
          <w:szCs w:val="24"/>
          <w:shd w:val="clear" w:color="auto" w:fill="FFFFFF"/>
          <w:lang w:eastAsia="pt-BR"/>
        </w:rPr>
        <w:t xml:space="preserve"> n. 1,</w:t>
      </w:r>
      <w:r w:rsidRPr="002B40FC">
        <w:rPr>
          <w:rFonts w:ascii="Times New Roman" w:eastAsia="Times New Roman" w:hAnsi="Times New Roman"/>
          <w:kern w:val="1"/>
          <w:sz w:val="24"/>
          <w:szCs w:val="24"/>
          <w:shd w:val="clear" w:color="auto" w:fill="FFFFFF"/>
          <w:lang w:eastAsia="pt-BR"/>
        </w:rPr>
        <w:t xml:space="preserve"> p.</w:t>
      </w:r>
      <w:r w:rsidR="00810ECF">
        <w:rPr>
          <w:rFonts w:ascii="Times New Roman" w:eastAsia="Times New Roman" w:hAnsi="Times New Roman"/>
          <w:kern w:val="1"/>
          <w:sz w:val="24"/>
          <w:szCs w:val="24"/>
          <w:shd w:val="clear" w:color="auto" w:fill="FFFFFF"/>
          <w:lang w:eastAsia="pt-BR"/>
        </w:rPr>
        <w:t xml:space="preserve"> </w:t>
      </w:r>
      <w:r w:rsidRPr="002B40FC">
        <w:rPr>
          <w:rFonts w:ascii="Times New Roman" w:eastAsia="Times New Roman" w:hAnsi="Times New Roman"/>
          <w:kern w:val="1"/>
          <w:sz w:val="24"/>
          <w:szCs w:val="24"/>
          <w:shd w:val="clear" w:color="auto" w:fill="FFFFFF"/>
          <w:lang w:eastAsia="pt-BR"/>
        </w:rPr>
        <w:t>381-390, 2006.</w:t>
      </w:r>
    </w:p>
    <w:p w:rsidR="00D6414F" w:rsidRPr="002B40FC" w:rsidRDefault="00D6414F" w:rsidP="00460133">
      <w:pPr>
        <w:spacing w:line="360" w:lineRule="auto"/>
        <w:jc w:val="both"/>
        <w:rPr>
          <w:rFonts w:ascii="Times New Roman" w:eastAsia="Times New Roman" w:hAnsi="Times New Roman"/>
          <w:kern w:val="1"/>
          <w:sz w:val="24"/>
          <w:szCs w:val="24"/>
          <w:shd w:val="clear" w:color="auto" w:fill="FFFFFF"/>
          <w:lang w:eastAsia="pt-BR"/>
        </w:rPr>
      </w:pPr>
      <w:r w:rsidRPr="002B40FC">
        <w:rPr>
          <w:rFonts w:ascii="Times New Roman" w:eastAsia="Times New Roman" w:hAnsi="Times New Roman"/>
          <w:kern w:val="1"/>
          <w:sz w:val="24"/>
          <w:szCs w:val="24"/>
          <w:shd w:val="clear" w:color="auto" w:fill="FFFFFF"/>
          <w:lang w:eastAsia="pt-BR"/>
        </w:rPr>
        <w:lastRenderedPageBreak/>
        <w:t xml:space="preserve">CARVALHO, P. E. R. </w:t>
      </w:r>
      <w:r w:rsidRPr="002B40FC">
        <w:rPr>
          <w:rFonts w:ascii="Times New Roman" w:eastAsia="Times New Roman" w:hAnsi="Times New Roman"/>
          <w:b/>
          <w:kern w:val="1"/>
          <w:sz w:val="24"/>
          <w:szCs w:val="24"/>
          <w:shd w:val="clear" w:color="auto" w:fill="FFFFFF"/>
          <w:lang w:eastAsia="pt-BR"/>
        </w:rPr>
        <w:t>Espécies arbóreas brasileiras</w:t>
      </w:r>
      <w:r w:rsidRPr="002B40FC">
        <w:rPr>
          <w:rFonts w:ascii="Times New Roman" w:eastAsia="Times New Roman" w:hAnsi="Times New Roman"/>
          <w:kern w:val="1"/>
          <w:sz w:val="24"/>
          <w:szCs w:val="24"/>
          <w:shd w:val="clear" w:color="auto" w:fill="FFFFFF"/>
          <w:lang w:eastAsia="pt-BR"/>
        </w:rPr>
        <w:t>. Brasília, DF: Embrapa Informação Tecnológica; Co</w:t>
      </w:r>
      <w:r w:rsidR="00897433" w:rsidRPr="002B40FC">
        <w:rPr>
          <w:rFonts w:ascii="Times New Roman" w:eastAsia="Times New Roman" w:hAnsi="Times New Roman"/>
          <w:kern w:val="1"/>
          <w:sz w:val="24"/>
          <w:szCs w:val="24"/>
          <w:shd w:val="clear" w:color="auto" w:fill="FFFFFF"/>
          <w:lang w:eastAsia="pt-BR"/>
        </w:rPr>
        <w:t xml:space="preserve">lombo: Embrapa Florestas, 2010. </w:t>
      </w:r>
      <w:r w:rsidRPr="002B40FC">
        <w:rPr>
          <w:rFonts w:ascii="Times New Roman" w:eastAsia="Times New Roman" w:hAnsi="Times New Roman"/>
          <w:kern w:val="1"/>
          <w:sz w:val="24"/>
          <w:szCs w:val="24"/>
          <w:shd w:val="clear" w:color="auto" w:fill="FFFFFF"/>
          <w:lang w:eastAsia="pt-BR"/>
        </w:rPr>
        <w:t>644 p.</w:t>
      </w:r>
    </w:p>
    <w:p w:rsidR="00D6414F" w:rsidRPr="002B40FC" w:rsidRDefault="00D6414F" w:rsidP="00460133">
      <w:pPr>
        <w:spacing w:line="360" w:lineRule="auto"/>
        <w:jc w:val="both"/>
        <w:rPr>
          <w:rFonts w:ascii="Times New Roman" w:eastAsia="Times New Roman" w:hAnsi="Times New Roman"/>
          <w:kern w:val="1"/>
          <w:sz w:val="24"/>
          <w:szCs w:val="24"/>
          <w:shd w:val="clear" w:color="auto" w:fill="FFFFFF"/>
          <w:lang w:eastAsia="pt-BR"/>
        </w:rPr>
      </w:pPr>
      <w:r w:rsidRPr="002B40FC">
        <w:rPr>
          <w:rFonts w:ascii="Times New Roman" w:eastAsia="Times New Roman" w:hAnsi="Times New Roman"/>
          <w:kern w:val="1"/>
          <w:sz w:val="24"/>
          <w:szCs w:val="24"/>
          <w:shd w:val="clear" w:color="auto" w:fill="FFFFFF"/>
          <w:lang w:eastAsia="pt-BR"/>
        </w:rPr>
        <w:t>DALBERTO, D</w:t>
      </w:r>
      <w:r w:rsidR="0049111F" w:rsidRPr="002B40FC">
        <w:rPr>
          <w:rFonts w:ascii="Times New Roman" w:eastAsia="Times New Roman" w:hAnsi="Times New Roman"/>
          <w:kern w:val="1"/>
          <w:sz w:val="24"/>
          <w:szCs w:val="24"/>
          <w:shd w:val="clear" w:color="auto" w:fill="FFFFFF"/>
          <w:lang w:eastAsia="pt-BR"/>
        </w:rPr>
        <w:t>.</w:t>
      </w:r>
      <w:r w:rsidRPr="002B40FC">
        <w:rPr>
          <w:rFonts w:ascii="Times New Roman" w:eastAsia="Times New Roman" w:hAnsi="Times New Roman"/>
          <w:kern w:val="1"/>
          <w:sz w:val="24"/>
          <w:szCs w:val="24"/>
          <w:shd w:val="clear" w:color="auto" w:fill="FFFFFF"/>
          <w:lang w:eastAsia="pt-BR"/>
        </w:rPr>
        <w:t xml:space="preserve"> S. </w:t>
      </w:r>
      <w:r w:rsidRPr="002B40FC">
        <w:rPr>
          <w:rFonts w:ascii="Times New Roman" w:eastAsia="Times New Roman" w:hAnsi="Times New Roman"/>
          <w:b/>
          <w:kern w:val="1"/>
          <w:sz w:val="24"/>
          <w:szCs w:val="24"/>
          <w:shd w:val="clear" w:color="auto" w:fill="FFFFFF"/>
          <w:lang w:eastAsia="pt-BR"/>
        </w:rPr>
        <w:t xml:space="preserve">Estresse osmótico na germinação de sementes de </w:t>
      </w:r>
      <w:r w:rsidRPr="002B40FC">
        <w:rPr>
          <w:rFonts w:ascii="Times New Roman" w:eastAsia="Times New Roman" w:hAnsi="Times New Roman"/>
          <w:b/>
          <w:i/>
          <w:kern w:val="1"/>
          <w:sz w:val="24"/>
          <w:szCs w:val="24"/>
          <w:shd w:val="clear" w:color="auto" w:fill="FFFFFF"/>
          <w:lang w:eastAsia="pt-BR"/>
        </w:rPr>
        <w:t>Ochroma pyramidale</w:t>
      </w:r>
      <w:r w:rsidRPr="002B40FC">
        <w:rPr>
          <w:rFonts w:ascii="Times New Roman" w:eastAsia="Times New Roman" w:hAnsi="Times New Roman"/>
          <w:b/>
          <w:kern w:val="1"/>
          <w:sz w:val="24"/>
          <w:szCs w:val="24"/>
          <w:shd w:val="clear" w:color="auto" w:fill="FFFFFF"/>
          <w:lang w:eastAsia="pt-BR"/>
        </w:rPr>
        <w:t xml:space="preserve"> (Cav. Ex Lam.) Urb.(Malvaceae)</w:t>
      </w:r>
      <w:r w:rsidRPr="002B40FC">
        <w:rPr>
          <w:rFonts w:ascii="Times New Roman" w:eastAsia="Times New Roman" w:hAnsi="Times New Roman"/>
          <w:kern w:val="1"/>
          <w:sz w:val="24"/>
          <w:szCs w:val="24"/>
          <w:shd w:val="clear" w:color="auto" w:fill="FFFFFF"/>
          <w:lang w:eastAsia="pt-BR"/>
        </w:rPr>
        <w:t xml:space="preserve">. 2012. </w:t>
      </w:r>
      <w:r w:rsidR="00D07692" w:rsidRPr="002B40FC">
        <w:rPr>
          <w:rFonts w:ascii="Times New Roman" w:eastAsia="Times New Roman" w:hAnsi="Times New Roman"/>
          <w:kern w:val="1"/>
          <w:sz w:val="24"/>
          <w:szCs w:val="24"/>
          <w:shd w:val="clear" w:color="auto" w:fill="FFFFFF"/>
          <w:lang w:eastAsia="pt-BR"/>
        </w:rPr>
        <w:t xml:space="preserve">46 f. </w:t>
      </w:r>
      <w:r w:rsidRPr="002B40FC">
        <w:rPr>
          <w:rFonts w:ascii="Times New Roman" w:eastAsia="Times New Roman" w:hAnsi="Times New Roman"/>
          <w:kern w:val="1"/>
          <w:sz w:val="24"/>
          <w:szCs w:val="24"/>
          <w:shd w:val="clear" w:color="auto" w:fill="FFFFFF"/>
          <w:lang w:eastAsia="pt-BR"/>
        </w:rPr>
        <w:t xml:space="preserve">Tese </w:t>
      </w:r>
      <w:r w:rsidR="00D07692" w:rsidRPr="002B40FC">
        <w:rPr>
          <w:rFonts w:ascii="Times New Roman" w:eastAsia="Times New Roman" w:hAnsi="Times New Roman"/>
          <w:kern w:val="1"/>
          <w:sz w:val="24"/>
          <w:szCs w:val="24"/>
          <w:shd w:val="clear" w:color="auto" w:fill="FFFFFF"/>
          <w:lang w:eastAsia="pt-BR"/>
        </w:rPr>
        <w:t>(Mestrado em Ciências Ambientais)</w:t>
      </w:r>
      <w:r w:rsidRPr="002B40FC">
        <w:rPr>
          <w:rFonts w:ascii="Times New Roman" w:eastAsia="Times New Roman" w:hAnsi="Times New Roman"/>
          <w:kern w:val="1"/>
          <w:sz w:val="24"/>
          <w:szCs w:val="24"/>
          <w:shd w:val="clear" w:color="auto" w:fill="FFFFFF"/>
          <w:lang w:eastAsia="pt-BR"/>
        </w:rPr>
        <w:t xml:space="preserve"> </w:t>
      </w:r>
      <w:r w:rsidR="00897433" w:rsidRPr="002B40FC">
        <w:rPr>
          <w:rFonts w:ascii="Times New Roman" w:eastAsia="Times New Roman" w:hAnsi="Times New Roman"/>
          <w:kern w:val="1"/>
          <w:sz w:val="24"/>
          <w:szCs w:val="24"/>
          <w:shd w:val="clear" w:color="auto" w:fill="FFFFFF"/>
          <w:lang w:eastAsia="pt-BR"/>
        </w:rPr>
        <w:t xml:space="preserve">- </w:t>
      </w:r>
      <w:r w:rsidRPr="002B40FC">
        <w:rPr>
          <w:rFonts w:ascii="Times New Roman" w:eastAsia="Times New Roman" w:hAnsi="Times New Roman"/>
          <w:kern w:val="1"/>
          <w:sz w:val="24"/>
          <w:szCs w:val="24"/>
          <w:shd w:val="clear" w:color="auto" w:fill="FFFFFF"/>
          <w:lang w:eastAsia="pt-BR"/>
        </w:rPr>
        <w:t>Universidade do Estado de Mato Grosso.</w:t>
      </w:r>
      <w:r w:rsidR="00897433" w:rsidRPr="002B40FC">
        <w:rPr>
          <w:rFonts w:ascii="Times New Roman" w:eastAsia="Times New Roman" w:hAnsi="Times New Roman"/>
          <w:kern w:val="1"/>
          <w:sz w:val="24"/>
          <w:szCs w:val="24"/>
          <w:shd w:val="clear" w:color="auto" w:fill="FFFFFF"/>
          <w:lang w:eastAsia="pt-BR"/>
        </w:rPr>
        <w:t xml:space="preserve"> 2012</w:t>
      </w:r>
      <w:r w:rsidR="00A413D5" w:rsidRPr="002B40FC">
        <w:rPr>
          <w:rFonts w:ascii="Times New Roman" w:eastAsia="Times New Roman" w:hAnsi="Times New Roman"/>
          <w:kern w:val="1"/>
          <w:sz w:val="24"/>
          <w:szCs w:val="24"/>
          <w:shd w:val="clear" w:color="auto" w:fill="FFFFFF"/>
          <w:lang w:eastAsia="pt-BR"/>
        </w:rPr>
        <w:t>.</w:t>
      </w:r>
    </w:p>
    <w:p w:rsidR="00D6414F" w:rsidRPr="00653AB9" w:rsidRDefault="00D6414F" w:rsidP="00460133">
      <w:pPr>
        <w:spacing w:line="360" w:lineRule="auto"/>
        <w:jc w:val="both"/>
        <w:rPr>
          <w:rFonts w:ascii="Times New Roman" w:eastAsia="Times New Roman" w:hAnsi="Times New Roman"/>
          <w:sz w:val="24"/>
          <w:szCs w:val="24"/>
          <w:lang w:eastAsia="pt-BR"/>
        </w:rPr>
      </w:pPr>
      <w:r w:rsidRPr="002B40FC">
        <w:rPr>
          <w:rFonts w:ascii="Times New Roman" w:eastAsia="Times New Roman" w:hAnsi="Times New Roman"/>
          <w:sz w:val="24"/>
          <w:szCs w:val="24"/>
          <w:lang w:eastAsia="pt-BR"/>
        </w:rPr>
        <w:t xml:space="preserve">DAMIANI, C. R.; SCHUCH, M. W. Enraizamento </w:t>
      </w:r>
      <w:r w:rsidRPr="002B40FC">
        <w:rPr>
          <w:rFonts w:ascii="Times New Roman" w:eastAsia="Times New Roman" w:hAnsi="Times New Roman"/>
          <w:i/>
          <w:sz w:val="24"/>
          <w:szCs w:val="24"/>
          <w:lang w:eastAsia="pt-BR"/>
        </w:rPr>
        <w:t>in vitro</w:t>
      </w:r>
      <w:r w:rsidRPr="002B40FC">
        <w:rPr>
          <w:rFonts w:ascii="Times New Roman" w:eastAsia="Times New Roman" w:hAnsi="Times New Roman"/>
          <w:sz w:val="24"/>
          <w:szCs w:val="24"/>
          <w:lang w:eastAsia="pt-BR"/>
        </w:rPr>
        <w:t xml:space="preserve"> de mirtilo em condições fotoautotróficas. </w:t>
      </w:r>
      <w:r w:rsidRPr="002B40FC">
        <w:rPr>
          <w:rFonts w:ascii="Times New Roman" w:eastAsia="Times New Roman" w:hAnsi="Times New Roman"/>
          <w:b/>
          <w:sz w:val="24"/>
          <w:szCs w:val="24"/>
          <w:lang w:eastAsia="pt-BR"/>
        </w:rPr>
        <w:t>Ciência Rural</w:t>
      </w:r>
      <w:r w:rsidRPr="002B40FC">
        <w:rPr>
          <w:rFonts w:ascii="Times New Roman" w:eastAsia="Times New Roman" w:hAnsi="Times New Roman"/>
          <w:sz w:val="24"/>
          <w:szCs w:val="24"/>
          <w:lang w:eastAsia="pt-BR"/>
        </w:rPr>
        <w:t>, Santa Maria, v.</w:t>
      </w:r>
      <w:r w:rsidR="00215E84" w:rsidRPr="002B40FC">
        <w:rPr>
          <w:rFonts w:ascii="Times New Roman" w:eastAsia="Times New Roman" w:hAnsi="Times New Roman"/>
          <w:sz w:val="24"/>
          <w:szCs w:val="24"/>
          <w:lang w:eastAsia="pt-BR"/>
        </w:rPr>
        <w:t xml:space="preserve"> </w:t>
      </w:r>
      <w:r w:rsidRPr="002B40FC">
        <w:rPr>
          <w:rFonts w:ascii="Times New Roman" w:eastAsia="Times New Roman" w:hAnsi="Times New Roman"/>
          <w:sz w:val="24"/>
          <w:szCs w:val="24"/>
          <w:lang w:eastAsia="pt-BR"/>
        </w:rPr>
        <w:t>39, n. 4, p.</w:t>
      </w:r>
      <w:r w:rsidR="00810ECF">
        <w:rPr>
          <w:rFonts w:ascii="Times New Roman" w:eastAsia="Times New Roman" w:hAnsi="Times New Roman"/>
          <w:sz w:val="24"/>
          <w:szCs w:val="24"/>
          <w:lang w:eastAsia="pt-BR"/>
        </w:rPr>
        <w:t xml:space="preserve"> </w:t>
      </w:r>
      <w:r w:rsidRPr="002B40FC">
        <w:rPr>
          <w:rFonts w:ascii="Times New Roman" w:eastAsia="Times New Roman" w:hAnsi="Times New Roman"/>
          <w:sz w:val="24"/>
          <w:szCs w:val="24"/>
          <w:lang w:eastAsia="pt-BR"/>
        </w:rPr>
        <w:t>1012-1017, 2009.</w:t>
      </w:r>
    </w:p>
    <w:p w:rsidR="00D6414F" w:rsidRPr="002B40FC" w:rsidRDefault="00D6414F" w:rsidP="00460133">
      <w:pPr>
        <w:spacing w:line="360" w:lineRule="auto"/>
        <w:jc w:val="both"/>
        <w:rPr>
          <w:rFonts w:ascii="Times New Roman" w:eastAsia="Arial" w:hAnsi="Times New Roman"/>
          <w:sz w:val="24"/>
          <w:szCs w:val="24"/>
        </w:rPr>
      </w:pPr>
      <w:r w:rsidRPr="002B40FC">
        <w:rPr>
          <w:rFonts w:ascii="Times New Roman" w:eastAsia="Arial" w:hAnsi="Times New Roman"/>
          <w:sz w:val="24"/>
          <w:szCs w:val="24"/>
        </w:rPr>
        <w:t xml:space="preserve">DANTAS, M. C. A.; CERETTA, M.; COUTINHO, F. E.; FORTES, G. R. de L. Enraizamento </w:t>
      </w:r>
      <w:r w:rsidRPr="002B40FC">
        <w:rPr>
          <w:rFonts w:ascii="Times New Roman" w:eastAsia="Arial" w:hAnsi="Times New Roman"/>
          <w:i/>
          <w:sz w:val="24"/>
          <w:szCs w:val="24"/>
        </w:rPr>
        <w:t>in vitro</w:t>
      </w:r>
      <w:r w:rsidRPr="002B40FC">
        <w:rPr>
          <w:rFonts w:ascii="Times New Roman" w:eastAsia="Arial" w:hAnsi="Times New Roman"/>
          <w:sz w:val="24"/>
          <w:szCs w:val="24"/>
        </w:rPr>
        <w:t xml:space="preserve"> da amoreira-preta (</w:t>
      </w:r>
      <w:r w:rsidRPr="002B40FC">
        <w:rPr>
          <w:rFonts w:ascii="Times New Roman" w:eastAsia="Arial" w:hAnsi="Times New Roman"/>
          <w:i/>
          <w:sz w:val="24"/>
          <w:szCs w:val="24"/>
        </w:rPr>
        <w:t>Rubus</w:t>
      </w:r>
      <w:r w:rsidRPr="002B40FC">
        <w:rPr>
          <w:rFonts w:ascii="Times New Roman" w:eastAsia="Arial" w:hAnsi="Times New Roman"/>
          <w:sz w:val="24"/>
          <w:szCs w:val="24"/>
        </w:rPr>
        <w:t xml:space="preserve"> sp.), cultivar Caigangue. </w:t>
      </w:r>
      <w:r w:rsidRPr="002B40FC">
        <w:rPr>
          <w:rFonts w:ascii="Times New Roman" w:eastAsia="Arial" w:hAnsi="Times New Roman"/>
          <w:b/>
          <w:sz w:val="24"/>
          <w:szCs w:val="24"/>
        </w:rPr>
        <w:t>Agropecuária de Clima Temperado</w:t>
      </w:r>
      <w:r w:rsidRPr="002B40FC">
        <w:rPr>
          <w:rFonts w:ascii="Times New Roman" w:eastAsia="Arial" w:hAnsi="Times New Roman"/>
          <w:sz w:val="24"/>
          <w:szCs w:val="24"/>
        </w:rPr>
        <w:t xml:space="preserve">, Pelotas, v. 3, n. 2, p. 123-130, 2000. </w:t>
      </w:r>
    </w:p>
    <w:p w:rsidR="00D6414F" w:rsidRPr="00653AB9" w:rsidRDefault="00D6414F" w:rsidP="00460133">
      <w:pPr>
        <w:spacing w:line="360" w:lineRule="auto"/>
        <w:jc w:val="both"/>
        <w:rPr>
          <w:rFonts w:ascii="Times New Roman" w:eastAsia="Arial" w:hAnsi="Times New Roman"/>
          <w:sz w:val="24"/>
          <w:szCs w:val="24"/>
        </w:rPr>
      </w:pPr>
      <w:r w:rsidRPr="002B40FC">
        <w:rPr>
          <w:rFonts w:ascii="Times New Roman" w:eastAsia="Arial" w:hAnsi="Times New Roman"/>
          <w:sz w:val="24"/>
          <w:szCs w:val="24"/>
          <w:shd w:val="clear" w:color="auto" w:fill="FFFFFF"/>
        </w:rPr>
        <w:t>DE MOURA, L. C.; TITON, M.; FERNANDES, J. S. C.; SANTANA, R. C.; OLIVEIRA, M. L. R. DE. Micropropagação de sucupira-pr</w:t>
      </w:r>
      <w:r w:rsidR="00653AB9">
        <w:rPr>
          <w:rFonts w:ascii="Times New Roman" w:eastAsia="Arial" w:hAnsi="Times New Roman"/>
          <w:sz w:val="24"/>
          <w:szCs w:val="24"/>
          <w:shd w:val="clear" w:color="auto" w:fill="FFFFFF"/>
        </w:rPr>
        <w:t xml:space="preserve">eta por meio de gemas axilares. </w:t>
      </w:r>
      <w:r w:rsidRPr="002B40FC">
        <w:rPr>
          <w:rFonts w:ascii="Times New Roman" w:eastAsia="Arial" w:hAnsi="Times New Roman"/>
          <w:b/>
          <w:sz w:val="24"/>
          <w:szCs w:val="24"/>
        </w:rPr>
        <w:t>Pesquisa Agropecuária Brasileira</w:t>
      </w:r>
      <w:r w:rsidRPr="002B40FC">
        <w:rPr>
          <w:rFonts w:ascii="Times New Roman" w:eastAsia="Arial" w:hAnsi="Times New Roman"/>
          <w:b/>
          <w:sz w:val="24"/>
          <w:szCs w:val="24"/>
          <w:shd w:val="clear" w:color="auto" w:fill="FFFFFF"/>
        </w:rPr>
        <w:t xml:space="preserve">, </w:t>
      </w:r>
      <w:r w:rsidRPr="002B40FC">
        <w:rPr>
          <w:rFonts w:ascii="Times New Roman" w:eastAsia="Arial" w:hAnsi="Times New Roman"/>
          <w:sz w:val="24"/>
          <w:szCs w:val="24"/>
          <w:shd w:val="clear" w:color="auto" w:fill="FFFFFF"/>
        </w:rPr>
        <w:t>Brasília, v. 47, n. 12, p. 1691-1698, 2012.</w:t>
      </w:r>
    </w:p>
    <w:p w:rsidR="00D6414F" w:rsidRPr="002B40FC" w:rsidRDefault="00D6414F" w:rsidP="00460133">
      <w:pPr>
        <w:spacing w:line="360" w:lineRule="auto"/>
        <w:jc w:val="both"/>
        <w:rPr>
          <w:rFonts w:ascii="Times New Roman" w:eastAsia="Times New Roman" w:hAnsi="Times New Roman"/>
          <w:sz w:val="24"/>
          <w:szCs w:val="24"/>
          <w:lang w:val="en-US" w:eastAsia="pt-BR"/>
        </w:rPr>
      </w:pPr>
      <w:r w:rsidRPr="002B40FC">
        <w:rPr>
          <w:rFonts w:ascii="Times New Roman" w:eastAsia="Times New Roman" w:hAnsi="Times New Roman"/>
          <w:sz w:val="24"/>
          <w:szCs w:val="24"/>
          <w:lang w:val="en-US" w:eastAsia="pt-BR"/>
        </w:rPr>
        <w:t xml:space="preserve">GAUCHAN, D. P. Effect of </w:t>
      </w:r>
      <w:r w:rsidR="00810ECF" w:rsidRPr="002B40FC">
        <w:rPr>
          <w:rFonts w:ascii="Times New Roman" w:eastAsia="Times New Roman" w:hAnsi="Times New Roman"/>
          <w:sz w:val="24"/>
          <w:szCs w:val="24"/>
          <w:lang w:val="en-US" w:eastAsia="pt-BR"/>
        </w:rPr>
        <w:t>different</w:t>
      </w:r>
      <w:r w:rsidRPr="002B40FC">
        <w:rPr>
          <w:rFonts w:ascii="Times New Roman" w:eastAsia="Times New Roman" w:hAnsi="Times New Roman"/>
          <w:sz w:val="24"/>
          <w:szCs w:val="24"/>
          <w:lang w:val="en-US" w:eastAsia="pt-BR"/>
        </w:rPr>
        <w:t xml:space="preserve"> sugar son shoot regeneration of maize (</w:t>
      </w:r>
      <w:r w:rsidRPr="002B40FC">
        <w:rPr>
          <w:rFonts w:ascii="Times New Roman" w:eastAsia="Times New Roman" w:hAnsi="Times New Roman"/>
          <w:i/>
          <w:sz w:val="24"/>
          <w:szCs w:val="24"/>
          <w:lang w:val="en-US" w:eastAsia="pt-BR"/>
        </w:rPr>
        <w:t xml:space="preserve">zea mays </w:t>
      </w:r>
      <w:r w:rsidRPr="002B40FC">
        <w:rPr>
          <w:rFonts w:ascii="Times New Roman" w:eastAsia="Times New Roman" w:hAnsi="Times New Roman"/>
          <w:sz w:val="24"/>
          <w:szCs w:val="24"/>
          <w:lang w:val="en-US" w:eastAsia="pt-BR"/>
        </w:rPr>
        <w:t xml:space="preserve">L.). </w:t>
      </w:r>
      <w:r w:rsidR="00897433" w:rsidRPr="002B40FC">
        <w:rPr>
          <w:rFonts w:ascii="Times New Roman" w:eastAsia="Times New Roman" w:hAnsi="Times New Roman"/>
          <w:b/>
          <w:sz w:val="24"/>
          <w:szCs w:val="24"/>
          <w:lang w:val="en-US" w:eastAsia="pt-BR"/>
        </w:rPr>
        <w:t>Kathmandu</w:t>
      </w:r>
      <w:r w:rsidRPr="002B40FC">
        <w:rPr>
          <w:rFonts w:ascii="Times New Roman" w:eastAsia="Times New Roman" w:hAnsi="Times New Roman"/>
          <w:b/>
          <w:sz w:val="24"/>
          <w:szCs w:val="24"/>
          <w:lang w:val="en-US" w:eastAsia="pt-BR"/>
        </w:rPr>
        <w:t xml:space="preserve"> </w:t>
      </w:r>
      <w:r w:rsidR="00897433" w:rsidRPr="002B40FC">
        <w:rPr>
          <w:rFonts w:ascii="Times New Roman" w:eastAsia="Times New Roman" w:hAnsi="Times New Roman"/>
          <w:b/>
          <w:sz w:val="24"/>
          <w:szCs w:val="24"/>
          <w:lang w:val="en-US" w:eastAsia="pt-BR"/>
        </w:rPr>
        <w:t>University</w:t>
      </w:r>
      <w:r w:rsidRPr="002B40FC">
        <w:rPr>
          <w:rFonts w:ascii="Times New Roman" w:eastAsia="Times New Roman" w:hAnsi="Times New Roman"/>
          <w:b/>
          <w:sz w:val="24"/>
          <w:szCs w:val="24"/>
          <w:lang w:val="en-US" w:eastAsia="pt-BR"/>
        </w:rPr>
        <w:t xml:space="preserve"> Journal of Science, Engineering and Technology</w:t>
      </w:r>
      <w:r w:rsidR="00810ECF">
        <w:rPr>
          <w:rFonts w:ascii="Times New Roman" w:eastAsia="Times New Roman" w:hAnsi="Times New Roman"/>
          <w:sz w:val="24"/>
          <w:szCs w:val="24"/>
          <w:lang w:val="en-US" w:eastAsia="pt-BR"/>
        </w:rPr>
        <w:t>, Kath</w:t>
      </w:r>
      <w:r w:rsidRPr="002B40FC">
        <w:rPr>
          <w:rFonts w:ascii="Times New Roman" w:eastAsia="Times New Roman" w:hAnsi="Times New Roman"/>
          <w:sz w:val="24"/>
          <w:szCs w:val="24"/>
          <w:lang w:val="en-US" w:eastAsia="pt-BR"/>
        </w:rPr>
        <w:t>mandu</w:t>
      </w:r>
      <w:r w:rsidRPr="002B40FC">
        <w:rPr>
          <w:rFonts w:ascii="Times New Roman" w:eastAsia="Times New Roman" w:hAnsi="Times New Roman"/>
          <w:b/>
          <w:sz w:val="24"/>
          <w:szCs w:val="24"/>
          <w:lang w:val="en-US" w:eastAsia="pt-BR"/>
        </w:rPr>
        <w:t>,</w:t>
      </w:r>
      <w:r w:rsidR="00810ECF">
        <w:rPr>
          <w:rFonts w:ascii="Times New Roman" w:eastAsia="Times New Roman" w:hAnsi="Times New Roman"/>
          <w:sz w:val="24"/>
          <w:szCs w:val="24"/>
          <w:lang w:val="en-US" w:eastAsia="pt-BR"/>
        </w:rPr>
        <w:t xml:space="preserve"> v. </w:t>
      </w:r>
      <w:r w:rsidRPr="002B40FC">
        <w:rPr>
          <w:rFonts w:ascii="Times New Roman" w:eastAsia="Times New Roman" w:hAnsi="Times New Roman"/>
          <w:sz w:val="24"/>
          <w:szCs w:val="24"/>
          <w:lang w:val="en-US" w:eastAsia="pt-BR"/>
        </w:rPr>
        <w:t>8, n. 1, p. 119-124, 2012.</w:t>
      </w:r>
    </w:p>
    <w:p w:rsidR="00D6414F" w:rsidRPr="002B40FC" w:rsidRDefault="00D6414F" w:rsidP="00460133">
      <w:pPr>
        <w:spacing w:line="360" w:lineRule="auto"/>
        <w:jc w:val="both"/>
        <w:rPr>
          <w:rFonts w:ascii="Times New Roman" w:eastAsia="Times New Roman" w:hAnsi="Times New Roman"/>
          <w:sz w:val="24"/>
          <w:szCs w:val="24"/>
          <w:lang w:val="en-US" w:eastAsia="pt-BR"/>
        </w:rPr>
      </w:pPr>
      <w:r w:rsidRPr="002B40FC">
        <w:rPr>
          <w:rFonts w:ascii="Times New Roman" w:eastAsia="Times New Roman" w:hAnsi="Times New Roman"/>
          <w:sz w:val="24"/>
          <w:szCs w:val="24"/>
          <w:lang w:val="en-US" w:eastAsia="pt-BR"/>
        </w:rPr>
        <w:t xml:space="preserve">LAMPRECHT, H. </w:t>
      </w:r>
      <w:r w:rsidRPr="002B40FC">
        <w:rPr>
          <w:rFonts w:ascii="Times New Roman" w:eastAsia="Times New Roman" w:hAnsi="Times New Roman"/>
          <w:b/>
          <w:sz w:val="24"/>
          <w:szCs w:val="24"/>
          <w:lang w:val="en-US" w:eastAsia="pt-BR"/>
        </w:rPr>
        <w:t>Silvicultura nos trópicos: ecossistemas florestais e respectivas espécies arbóreas: possibilidade e métodos de aproveitamento sustentado</w:t>
      </w:r>
      <w:r w:rsidR="00897433" w:rsidRPr="002B40FC">
        <w:rPr>
          <w:rFonts w:ascii="Times New Roman" w:eastAsia="Times New Roman" w:hAnsi="Times New Roman"/>
          <w:sz w:val="24"/>
          <w:szCs w:val="24"/>
          <w:lang w:val="en-US" w:eastAsia="pt-BR"/>
        </w:rPr>
        <w:t xml:space="preserve">. </w:t>
      </w:r>
      <w:r w:rsidR="008E26FB">
        <w:rPr>
          <w:rFonts w:ascii="Times New Roman" w:eastAsia="Times New Roman" w:hAnsi="Times New Roman"/>
          <w:sz w:val="24"/>
          <w:szCs w:val="24"/>
          <w:lang w:val="en-US" w:eastAsia="pt-BR"/>
        </w:rPr>
        <w:t xml:space="preserve">FAO, </w:t>
      </w:r>
      <w:r w:rsidR="00897433" w:rsidRPr="002B40FC">
        <w:rPr>
          <w:rFonts w:ascii="Times New Roman" w:eastAsia="Times New Roman" w:hAnsi="Times New Roman"/>
          <w:sz w:val="24"/>
          <w:szCs w:val="24"/>
          <w:lang w:val="en-US" w:eastAsia="pt-BR"/>
        </w:rPr>
        <w:t>Zusammenarbeit. 343</w:t>
      </w:r>
      <w:r w:rsidRPr="002B40FC">
        <w:rPr>
          <w:rFonts w:ascii="Times New Roman" w:eastAsia="Times New Roman" w:hAnsi="Times New Roman"/>
          <w:sz w:val="24"/>
          <w:szCs w:val="24"/>
          <w:lang w:val="en-US" w:eastAsia="pt-BR"/>
        </w:rPr>
        <w:t>p.</w:t>
      </w:r>
      <w:r w:rsidR="00897433" w:rsidRPr="002B40FC">
        <w:rPr>
          <w:rFonts w:ascii="Times New Roman" w:eastAsia="Times New Roman" w:hAnsi="Times New Roman"/>
          <w:sz w:val="24"/>
          <w:szCs w:val="24"/>
          <w:lang w:val="en-US" w:eastAsia="pt-BR"/>
        </w:rPr>
        <w:t xml:space="preserve"> 1990.</w:t>
      </w:r>
    </w:p>
    <w:p w:rsidR="00142908" w:rsidRPr="00653AB9" w:rsidRDefault="00D6414F" w:rsidP="00460133">
      <w:pPr>
        <w:spacing w:line="360" w:lineRule="auto"/>
        <w:jc w:val="both"/>
        <w:rPr>
          <w:rFonts w:ascii="Times New Roman" w:eastAsia="Arial" w:hAnsi="Times New Roman"/>
          <w:sz w:val="24"/>
          <w:szCs w:val="24"/>
        </w:rPr>
      </w:pPr>
      <w:r w:rsidRPr="002B40FC">
        <w:rPr>
          <w:rFonts w:ascii="Times New Roman" w:eastAsia="Arial" w:hAnsi="Times New Roman"/>
          <w:sz w:val="24"/>
          <w:szCs w:val="24"/>
        </w:rPr>
        <w:t xml:space="preserve">LORENZI, H. </w:t>
      </w:r>
      <w:r w:rsidRPr="002B40FC">
        <w:rPr>
          <w:rFonts w:ascii="Times New Roman" w:eastAsia="Arial" w:hAnsi="Times New Roman"/>
          <w:b/>
          <w:sz w:val="24"/>
          <w:szCs w:val="24"/>
        </w:rPr>
        <w:t>Árvores brasileiras: manual de identificação e cultivo de plantas arbóreas nativas do Brasil</w:t>
      </w:r>
      <w:r w:rsidRPr="002B40FC">
        <w:rPr>
          <w:rFonts w:ascii="Times New Roman" w:eastAsia="Arial" w:hAnsi="Times New Roman"/>
          <w:sz w:val="24"/>
          <w:szCs w:val="24"/>
        </w:rPr>
        <w:t>. Editora Plantarum, Nova Odessa, 351p. 1992.</w:t>
      </w:r>
    </w:p>
    <w:p w:rsidR="00D6414F" w:rsidRPr="002B40FC" w:rsidRDefault="00D6414F" w:rsidP="00460133">
      <w:pPr>
        <w:spacing w:line="360" w:lineRule="auto"/>
        <w:jc w:val="both"/>
        <w:rPr>
          <w:rFonts w:ascii="Times New Roman" w:eastAsia="Arial" w:hAnsi="Times New Roman"/>
          <w:sz w:val="24"/>
          <w:szCs w:val="24"/>
          <w:shd w:val="clear" w:color="auto" w:fill="FFFFFF"/>
        </w:rPr>
      </w:pPr>
      <w:r w:rsidRPr="002B40FC">
        <w:rPr>
          <w:rFonts w:ascii="Times New Roman" w:eastAsia="Arial" w:hAnsi="Times New Roman"/>
          <w:sz w:val="24"/>
          <w:szCs w:val="24"/>
          <w:shd w:val="clear" w:color="auto" w:fill="FFFFFF"/>
        </w:rPr>
        <w:t xml:space="preserve">MONFORT, L. E. F.; ALVARENGA, I. C. A.; MOREIRA, C. M.; PINTO, J. E. B. P.; BERTOLUCCI, S. K. V.; ANDRADE, H. B. DE. Desenvolvimento </w:t>
      </w:r>
      <w:r w:rsidRPr="002B40FC">
        <w:rPr>
          <w:rFonts w:ascii="Times New Roman" w:eastAsia="Arial" w:hAnsi="Times New Roman"/>
          <w:i/>
          <w:sz w:val="24"/>
          <w:szCs w:val="24"/>
          <w:shd w:val="clear" w:color="auto" w:fill="FFFFFF"/>
        </w:rPr>
        <w:t>in vitro</w:t>
      </w:r>
      <w:r w:rsidRPr="002B40FC">
        <w:rPr>
          <w:rFonts w:ascii="Times New Roman" w:eastAsia="Arial" w:hAnsi="Times New Roman"/>
          <w:sz w:val="24"/>
          <w:szCs w:val="24"/>
          <w:shd w:val="clear" w:color="auto" w:fill="FFFFFF"/>
        </w:rPr>
        <w:t xml:space="preserve"> de </w:t>
      </w:r>
      <w:r w:rsidRPr="002B40FC">
        <w:rPr>
          <w:rFonts w:ascii="Times New Roman" w:eastAsia="Arial" w:hAnsi="Times New Roman"/>
          <w:i/>
          <w:sz w:val="24"/>
          <w:szCs w:val="24"/>
          <w:shd w:val="clear" w:color="auto" w:fill="FFFFFF"/>
        </w:rPr>
        <w:t>Ocimum selloi</w:t>
      </w:r>
      <w:r w:rsidRPr="002B40FC">
        <w:rPr>
          <w:rFonts w:ascii="Times New Roman" w:eastAsia="Arial" w:hAnsi="Times New Roman"/>
          <w:sz w:val="24"/>
          <w:szCs w:val="24"/>
          <w:shd w:val="clear" w:color="auto" w:fill="FFFFFF"/>
        </w:rPr>
        <w:t xml:space="preserve"> em diferentes v</w:t>
      </w:r>
      <w:r w:rsidR="00FD2A74" w:rsidRPr="002B40FC">
        <w:rPr>
          <w:rFonts w:ascii="Times New Roman" w:eastAsia="Arial" w:hAnsi="Times New Roman"/>
          <w:sz w:val="24"/>
          <w:szCs w:val="24"/>
          <w:shd w:val="clear" w:color="auto" w:fill="FFFFFF"/>
        </w:rPr>
        <w:t xml:space="preserve">ariações do meio de cultivo MS. </w:t>
      </w:r>
      <w:r w:rsidRPr="002B40FC">
        <w:rPr>
          <w:rFonts w:ascii="Times New Roman" w:eastAsia="Arial" w:hAnsi="Times New Roman"/>
          <w:b/>
          <w:sz w:val="24"/>
          <w:szCs w:val="24"/>
          <w:shd w:val="clear" w:color="auto" w:fill="FFFFFF"/>
        </w:rPr>
        <w:t>Horticultura Brasileira</w:t>
      </w:r>
      <w:r w:rsidRPr="002B40FC">
        <w:rPr>
          <w:rFonts w:ascii="Times New Roman" w:eastAsia="Arial" w:hAnsi="Times New Roman"/>
          <w:sz w:val="24"/>
          <w:szCs w:val="24"/>
          <w:shd w:val="clear" w:color="auto" w:fill="FFFFFF"/>
        </w:rPr>
        <w:t xml:space="preserve">, Brasília, v. 29, n. 2, p. 4692-4697, 2011. </w:t>
      </w:r>
    </w:p>
    <w:p w:rsidR="00D6414F" w:rsidRPr="00653AB9" w:rsidRDefault="00A413D5" w:rsidP="00460133">
      <w:pPr>
        <w:spacing w:line="360" w:lineRule="auto"/>
        <w:jc w:val="both"/>
        <w:rPr>
          <w:rFonts w:ascii="Times New Roman" w:eastAsia="Arial" w:hAnsi="Times New Roman"/>
          <w:sz w:val="24"/>
          <w:szCs w:val="24"/>
          <w:shd w:val="clear" w:color="auto" w:fill="FFFFFF"/>
        </w:rPr>
      </w:pPr>
      <w:r w:rsidRPr="002B40FC">
        <w:rPr>
          <w:rFonts w:ascii="Times New Roman" w:eastAsia="Arial" w:hAnsi="Times New Roman"/>
          <w:sz w:val="24"/>
          <w:szCs w:val="24"/>
          <w:shd w:val="clear" w:color="auto" w:fill="FFFFFF"/>
        </w:rPr>
        <w:t>MONFORT, L. E. F; PINTO, J. E. B. P.;</w:t>
      </w:r>
      <w:r w:rsidR="00142908" w:rsidRPr="002B40FC">
        <w:rPr>
          <w:rFonts w:ascii="Times New Roman" w:eastAsia="Arial" w:hAnsi="Times New Roman"/>
          <w:sz w:val="24"/>
          <w:szCs w:val="24"/>
          <w:shd w:val="clear" w:color="auto" w:fill="FFFFFF"/>
        </w:rPr>
        <w:t xml:space="preserve"> </w:t>
      </w:r>
      <w:r w:rsidRPr="002B40FC">
        <w:rPr>
          <w:rFonts w:ascii="Times New Roman" w:eastAsia="Arial" w:hAnsi="Times New Roman"/>
          <w:sz w:val="24"/>
          <w:szCs w:val="24"/>
          <w:shd w:val="clear" w:color="auto" w:fill="FFFFFF"/>
        </w:rPr>
        <w:t>BERTOLUCCI, S. K. V</w:t>
      </w:r>
      <w:r w:rsidR="00D6414F" w:rsidRPr="002B40FC">
        <w:rPr>
          <w:rFonts w:ascii="Times New Roman" w:eastAsia="Arial" w:hAnsi="Times New Roman"/>
          <w:sz w:val="24"/>
          <w:szCs w:val="24"/>
          <w:shd w:val="clear" w:color="auto" w:fill="FFFFFF"/>
        </w:rPr>
        <w:t>.</w:t>
      </w:r>
      <w:r w:rsidRPr="002B40FC">
        <w:rPr>
          <w:rFonts w:ascii="Times New Roman" w:eastAsia="Arial" w:hAnsi="Times New Roman"/>
          <w:sz w:val="24"/>
          <w:szCs w:val="24"/>
          <w:shd w:val="clear" w:color="auto" w:fill="FFFFFF"/>
        </w:rPr>
        <w:t>; ROSSI, Z. T.T.; LIMA, A. F.; SILVA, S. T.; SILVA, G. M.</w:t>
      </w:r>
      <w:r w:rsidR="00D6414F" w:rsidRPr="002B40FC">
        <w:rPr>
          <w:rFonts w:ascii="Times New Roman" w:eastAsia="Arial" w:hAnsi="Times New Roman"/>
          <w:sz w:val="24"/>
          <w:szCs w:val="24"/>
          <w:shd w:val="clear" w:color="auto" w:fill="FFFFFF"/>
        </w:rPr>
        <w:t xml:space="preserve"> </w:t>
      </w:r>
      <w:r w:rsidR="00D6414F" w:rsidRPr="002B40FC">
        <w:rPr>
          <w:rFonts w:ascii="Times New Roman" w:eastAsia="Arial" w:hAnsi="Times New Roman"/>
          <w:sz w:val="24"/>
          <w:szCs w:val="24"/>
          <w:shd w:val="clear" w:color="auto" w:fill="FFFFFF"/>
          <w:lang w:val="en-US"/>
        </w:rPr>
        <w:t xml:space="preserve">Micropropagation and </w:t>
      </w:r>
      <w:r w:rsidR="00D6414F" w:rsidRPr="002B40FC">
        <w:rPr>
          <w:rFonts w:ascii="Times New Roman" w:eastAsia="Arial" w:hAnsi="Times New Roman"/>
          <w:i/>
          <w:sz w:val="24"/>
          <w:szCs w:val="24"/>
          <w:shd w:val="clear" w:color="auto" w:fill="FFFFFF"/>
          <w:lang w:val="en-US"/>
        </w:rPr>
        <w:t>in vitro</w:t>
      </w:r>
      <w:r w:rsidR="00D6414F" w:rsidRPr="002B40FC">
        <w:rPr>
          <w:rFonts w:ascii="Times New Roman" w:eastAsia="Arial" w:hAnsi="Times New Roman"/>
          <w:sz w:val="24"/>
          <w:szCs w:val="24"/>
          <w:shd w:val="clear" w:color="auto" w:fill="FFFFFF"/>
          <w:lang w:val="en-US"/>
        </w:rPr>
        <w:t xml:space="preserve"> seed germination of atroveran. </w:t>
      </w:r>
      <w:r w:rsidR="00D6414F" w:rsidRPr="002B40FC">
        <w:rPr>
          <w:rFonts w:ascii="Times New Roman" w:eastAsia="Arial" w:hAnsi="Times New Roman"/>
          <w:b/>
          <w:sz w:val="24"/>
          <w:szCs w:val="24"/>
          <w:shd w:val="clear" w:color="auto" w:fill="FFFFFF"/>
        </w:rPr>
        <w:t>Revista Ceres</w:t>
      </w:r>
      <w:r w:rsidR="00D6414F" w:rsidRPr="002B40FC">
        <w:rPr>
          <w:rFonts w:ascii="Times New Roman" w:eastAsia="Arial" w:hAnsi="Times New Roman"/>
          <w:sz w:val="24"/>
          <w:szCs w:val="24"/>
          <w:shd w:val="clear" w:color="auto" w:fill="FFFFFF"/>
        </w:rPr>
        <w:t>, Viçosa, v. 62, n. 2, p. 215-223, 2015.</w:t>
      </w:r>
    </w:p>
    <w:p w:rsidR="00D6414F" w:rsidRPr="002B40FC" w:rsidRDefault="00D6414F" w:rsidP="00460133">
      <w:pPr>
        <w:spacing w:line="360" w:lineRule="auto"/>
        <w:jc w:val="both"/>
        <w:rPr>
          <w:rFonts w:ascii="Times New Roman" w:eastAsia="Arial" w:hAnsi="Times New Roman"/>
          <w:sz w:val="24"/>
          <w:szCs w:val="24"/>
        </w:rPr>
      </w:pPr>
      <w:r w:rsidRPr="002B40FC">
        <w:rPr>
          <w:rFonts w:ascii="Times New Roman" w:eastAsia="Arial" w:hAnsi="Times New Roman"/>
          <w:sz w:val="24"/>
          <w:szCs w:val="24"/>
        </w:rPr>
        <w:t xml:space="preserve">MOREIRA, B. M. </w:t>
      </w:r>
      <w:r w:rsidR="008E26FB">
        <w:rPr>
          <w:rFonts w:ascii="Times New Roman" w:eastAsia="Arial" w:hAnsi="Times New Roman"/>
          <w:sz w:val="24"/>
          <w:szCs w:val="24"/>
        </w:rPr>
        <w:t>T.; TOMBA, E. C.; ZONETTI, P.</w:t>
      </w:r>
      <w:r w:rsidRPr="002B40FC">
        <w:rPr>
          <w:rFonts w:ascii="Times New Roman" w:eastAsia="Arial" w:hAnsi="Times New Roman"/>
          <w:sz w:val="24"/>
          <w:szCs w:val="24"/>
        </w:rPr>
        <w:t xml:space="preserve"> C. Crescimento </w:t>
      </w:r>
      <w:r w:rsidRPr="002B40FC">
        <w:rPr>
          <w:rFonts w:ascii="Times New Roman" w:eastAsia="Arial" w:hAnsi="Times New Roman"/>
          <w:i/>
          <w:sz w:val="24"/>
          <w:szCs w:val="24"/>
        </w:rPr>
        <w:t>in vitro</w:t>
      </w:r>
      <w:r w:rsidRPr="002B40FC">
        <w:rPr>
          <w:rFonts w:ascii="Times New Roman" w:eastAsia="Arial" w:hAnsi="Times New Roman"/>
          <w:sz w:val="24"/>
          <w:szCs w:val="24"/>
        </w:rPr>
        <w:t xml:space="preserve"> de plântulas de orquídea (</w:t>
      </w:r>
      <w:r w:rsidRPr="002B40FC">
        <w:rPr>
          <w:rFonts w:ascii="Times New Roman" w:eastAsia="Arial" w:hAnsi="Times New Roman"/>
          <w:i/>
          <w:sz w:val="24"/>
          <w:szCs w:val="24"/>
        </w:rPr>
        <w:t xml:space="preserve">Laelia purpu rata </w:t>
      </w:r>
      <w:r w:rsidRPr="002B40FC">
        <w:rPr>
          <w:rFonts w:ascii="Times New Roman" w:eastAsia="Arial" w:hAnsi="Times New Roman"/>
          <w:sz w:val="24"/>
          <w:szCs w:val="24"/>
        </w:rPr>
        <w:t xml:space="preserve">Lindl var venosa X </w:t>
      </w:r>
      <w:r w:rsidRPr="002B40FC">
        <w:rPr>
          <w:rFonts w:ascii="Times New Roman" w:eastAsia="Arial" w:hAnsi="Times New Roman"/>
          <w:i/>
          <w:sz w:val="24"/>
          <w:szCs w:val="24"/>
        </w:rPr>
        <w:t>Cattleya warneri</w:t>
      </w:r>
      <w:r w:rsidRPr="002B40FC">
        <w:rPr>
          <w:rFonts w:ascii="Times New Roman" w:eastAsia="Arial" w:hAnsi="Times New Roman"/>
          <w:sz w:val="24"/>
          <w:szCs w:val="24"/>
        </w:rPr>
        <w:t xml:space="preserve"> T. Moore alba) sob diferentes </w:t>
      </w:r>
      <w:r w:rsidRPr="002B40FC">
        <w:rPr>
          <w:rFonts w:ascii="Times New Roman" w:eastAsia="Arial" w:hAnsi="Times New Roman"/>
          <w:sz w:val="24"/>
          <w:szCs w:val="24"/>
        </w:rPr>
        <w:lastRenderedPageBreak/>
        <w:t xml:space="preserve">concentrações de sacarose e frutose. </w:t>
      </w:r>
      <w:r w:rsidRPr="002B40FC">
        <w:rPr>
          <w:rFonts w:ascii="Times New Roman" w:eastAsia="Arial" w:hAnsi="Times New Roman"/>
          <w:b/>
          <w:sz w:val="24"/>
          <w:szCs w:val="24"/>
        </w:rPr>
        <w:t>Revista de Saúde e Biologia</w:t>
      </w:r>
      <w:r w:rsidRPr="002B40FC">
        <w:rPr>
          <w:rFonts w:ascii="Times New Roman" w:eastAsia="Arial" w:hAnsi="Times New Roman"/>
          <w:sz w:val="24"/>
          <w:szCs w:val="24"/>
        </w:rPr>
        <w:t>, Campo Mourão, v.</w:t>
      </w:r>
      <w:r w:rsidR="00215E84" w:rsidRPr="002B40FC">
        <w:rPr>
          <w:rFonts w:ascii="Times New Roman" w:eastAsia="Arial" w:hAnsi="Times New Roman"/>
          <w:sz w:val="24"/>
          <w:szCs w:val="24"/>
        </w:rPr>
        <w:t xml:space="preserve"> </w:t>
      </w:r>
      <w:r w:rsidRPr="002B40FC">
        <w:rPr>
          <w:rFonts w:ascii="Times New Roman" w:eastAsia="Arial" w:hAnsi="Times New Roman"/>
          <w:sz w:val="24"/>
          <w:szCs w:val="24"/>
        </w:rPr>
        <w:t>2, n.</w:t>
      </w:r>
      <w:r w:rsidR="008E26FB">
        <w:rPr>
          <w:rFonts w:ascii="Times New Roman" w:eastAsia="Arial" w:hAnsi="Times New Roman"/>
          <w:sz w:val="24"/>
          <w:szCs w:val="24"/>
        </w:rPr>
        <w:t xml:space="preserve"> </w:t>
      </w:r>
      <w:r w:rsidRPr="002B40FC">
        <w:rPr>
          <w:rFonts w:ascii="Times New Roman" w:eastAsia="Arial" w:hAnsi="Times New Roman"/>
          <w:sz w:val="24"/>
          <w:szCs w:val="24"/>
        </w:rPr>
        <w:t>2, p.</w:t>
      </w:r>
      <w:r w:rsidR="008E26FB">
        <w:rPr>
          <w:rFonts w:ascii="Times New Roman" w:eastAsia="Arial" w:hAnsi="Times New Roman"/>
          <w:sz w:val="24"/>
          <w:szCs w:val="24"/>
        </w:rPr>
        <w:t xml:space="preserve"> </w:t>
      </w:r>
      <w:r w:rsidRPr="002B40FC">
        <w:rPr>
          <w:rFonts w:ascii="Times New Roman" w:eastAsia="Arial" w:hAnsi="Times New Roman"/>
          <w:sz w:val="24"/>
          <w:szCs w:val="24"/>
        </w:rPr>
        <w:t xml:space="preserve">16-21, 2007. </w:t>
      </w:r>
    </w:p>
    <w:p w:rsidR="00D6414F" w:rsidRPr="002B40FC" w:rsidRDefault="00D6414F" w:rsidP="00460133">
      <w:pPr>
        <w:spacing w:line="360" w:lineRule="auto"/>
        <w:jc w:val="both"/>
        <w:rPr>
          <w:rFonts w:ascii="Times New Roman" w:eastAsia="Arial" w:hAnsi="Times New Roman"/>
          <w:sz w:val="24"/>
          <w:szCs w:val="24"/>
        </w:rPr>
      </w:pPr>
      <w:r w:rsidRPr="002B40FC">
        <w:rPr>
          <w:rFonts w:ascii="Times New Roman" w:eastAsia="Arial" w:hAnsi="Times New Roman"/>
          <w:sz w:val="24"/>
          <w:szCs w:val="24"/>
          <w:lang w:val="en-US"/>
        </w:rPr>
        <w:t>MURASHIGE, T.;</w:t>
      </w:r>
      <w:r w:rsidR="008E26FB">
        <w:rPr>
          <w:rFonts w:ascii="Times New Roman" w:eastAsia="Arial" w:hAnsi="Times New Roman"/>
          <w:sz w:val="24"/>
          <w:szCs w:val="24"/>
          <w:lang w:val="en-US"/>
        </w:rPr>
        <w:t xml:space="preserve"> SKOOG, F. A. A Revised Medium for Rapid Growth a</w:t>
      </w:r>
      <w:r w:rsidRPr="002B40FC">
        <w:rPr>
          <w:rFonts w:ascii="Times New Roman" w:eastAsia="Arial" w:hAnsi="Times New Roman"/>
          <w:sz w:val="24"/>
          <w:szCs w:val="24"/>
          <w:lang w:val="en-US"/>
        </w:rPr>
        <w:t xml:space="preserve">nd Bioassays With Tobacco Tissue Cultures. </w:t>
      </w:r>
      <w:r w:rsidRPr="002B40FC">
        <w:rPr>
          <w:rFonts w:ascii="Times New Roman" w:eastAsia="Arial" w:hAnsi="Times New Roman"/>
          <w:b/>
          <w:sz w:val="24"/>
          <w:szCs w:val="24"/>
        </w:rPr>
        <w:t>Physiologia Plantarum</w:t>
      </w:r>
      <w:r w:rsidRPr="002B40FC">
        <w:rPr>
          <w:rFonts w:ascii="Times New Roman" w:eastAsia="Arial" w:hAnsi="Times New Roman"/>
          <w:sz w:val="24"/>
          <w:szCs w:val="24"/>
        </w:rPr>
        <w:t>, Copenhagen, v.</w:t>
      </w:r>
      <w:r w:rsidR="00215E84" w:rsidRPr="002B40FC">
        <w:rPr>
          <w:rFonts w:ascii="Times New Roman" w:eastAsia="Arial" w:hAnsi="Times New Roman"/>
          <w:sz w:val="24"/>
          <w:szCs w:val="24"/>
        </w:rPr>
        <w:t xml:space="preserve"> </w:t>
      </w:r>
      <w:r w:rsidRPr="002B40FC">
        <w:rPr>
          <w:rFonts w:ascii="Times New Roman" w:eastAsia="Arial" w:hAnsi="Times New Roman"/>
          <w:sz w:val="24"/>
          <w:szCs w:val="24"/>
        </w:rPr>
        <w:t>15, n.3, p.473-497, 1962.</w:t>
      </w:r>
    </w:p>
    <w:p w:rsidR="00D6414F" w:rsidRPr="002B40FC" w:rsidRDefault="00D6414F" w:rsidP="00460133">
      <w:pPr>
        <w:spacing w:line="360" w:lineRule="auto"/>
        <w:jc w:val="both"/>
        <w:rPr>
          <w:rFonts w:ascii="Times New Roman" w:eastAsia="Arial" w:hAnsi="Times New Roman"/>
          <w:sz w:val="24"/>
          <w:szCs w:val="24"/>
        </w:rPr>
      </w:pPr>
      <w:r w:rsidRPr="002B40FC">
        <w:rPr>
          <w:rFonts w:ascii="Times New Roman" w:hAnsi="Times New Roman"/>
          <w:sz w:val="24"/>
          <w:szCs w:val="24"/>
        </w:rPr>
        <w:t xml:space="preserve">PEREIRA, A. R.; PASQUAL, M.; CHAGAS, E. A.; FRÁGUAS, C. B.; DUTRA, L. F. Indução de embriões somáticos globulares e cordiformes de cafeeiro por BAP e sacarose. </w:t>
      </w:r>
      <w:r w:rsidRPr="002B40FC">
        <w:rPr>
          <w:rFonts w:ascii="Times New Roman" w:hAnsi="Times New Roman"/>
          <w:b/>
          <w:sz w:val="24"/>
          <w:szCs w:val="24"/>
        </w:rPr>
        <w:t xml:space="preserve">Scientia Agraria, </w:t>
      </w:r>
      <w:r w:rsidRPr="002B40FC">
        <w:rPr>
          <w:rFonts w:ascii="Times New Roman" w:hAnsi="Times New Roman"/>
          <w:sz w:val="24"/>
          <w:szCs w:val="24"/>
        </w:rPr>
        <w:t>Curitiba,</w:t>
      </w:r>
      <w:r w:rsidRPr="002B40FC">
        <w:rPr>
          <w:rFonts w:ascii="Times New Roman" w:hAnsi="Times New Roman"/>
          <w:b/>
          <w:sz w:val="24"/>
          <w:szCs w:val="24"/>
        </w:rPr>
        <w:t xml:space="preserve"> </w:t>
      </w:r>
      <w:r w:rsidRPr="002B40FC">
        <w:rPr>
          <w:rFonts w:ascii="Times New Roman" w:hAnsi="Times New Roman"/>
          <w:sz w:val="24"/>
          <w:szCs w:val="24"/>
        </w:rPr>
        <w:t>v. 4, n. 1-2, p. 77-80, 2003.</w:t>
      </w:r>
    </w:p>
    <w:p w:rsidR="00D6414F" w:rsidRPr="002B40FC" w:rsidRDefault="00D6414F" w:rsidP="00460133">
      <w:pPr>
        <w:spacing w:line="360" w:lineRule="auto"/>
        <w:jc w:val="both"/>
        <w:rPr>
          <w:rFonts w:ascii="Times New Roman" w:eastAsia="Arial" w:hAnsi="Times New Roman"/>
          <w:sz w:val="24"/>
          <w:szCs w:val="24"/>
        </w:rPr>
      </w:pPr>
      <w:r w:rsidRPr="002B40FC">
        <w:rPr>
          <w:rFonts w:ascii="Times New Roman" w:eastAsia="Arial" w:hAnsi="Times New Roman"/>
          <w:sz w:val="24"/>
          <w:szCs w:val="24"/>
        </w:rPr>
        <w:t xml:space="preserve">PEREIRA, L. A.; PINTO SOBRINHO, F. A.; COSTA NETO, S. V. Florística e estrutura de uma mata de terra firme na reserva de desenvolvimento sustentável Rio Iratapuru, Amapá, Amazônia Oriental, Brasil. </w:t>
      </w:r>
      <w:r w:rsidRPr="002B40FC">
        <w:rPr>
          <w:rFonts w:ascii="Times New Roman" w:eastAsia="Arial" w:hAnsi="Times New Roman"/>
          <w:b/>
          <w:sz w:val="24"/>
          <w:szCs w:val="24"/>
        </w:rPr>
        <w:t>Revista Floresta</w:t>
      </w:r>
      <w:r w:rsidRPr="002B40FC">
        <w:rPr>
          <w:rFonts w:ascii="Times New Roman" w:eastAsia="Arial" w:hAnsi="Times New Roman"/>
          <w:sz w:val="24"/>
          <w:szCs w:val="24"/>
        </w:rPr>
        <w:t>, Curitiba, v. 41, n. 1, p. 113-122, 2011.</w:t>
      </w:r>
    </w:p>
    <w:p w:rsidR="00D6414F" w:rsidRPr="00653AB9" w:rsidRDefault="00D6414F" w:rsidP="00460133">
      <w:pPr>
        <w:spacing w:line="360" w:lineRule="auto"/>
        <w:jc w:val="both"/>
        <w:rPr>
          <w:rFonts w:ascii="Times New Roman" w:hAnsi="Times New Roman"/>
          <w:sz w:val="24"/>
          <w:szCs w:val="24"/>
        </w:rPr>
      </w:pPr>
      <w:r w:rsidRPr="002B40FC">
        <w:rPr>
          <w:rFonts w:ascii="Times New Roman" w:hAnsi="Times New Roman"/>
          <w:sz w:val="24"/>
          <w:szCs w:val="24"/>
        </w:rPr>
        <w:t xml:space="preserve">PILATTI, F. K. </w:t>
      </w:r>
      <w:r w:rsidRPr="002B40FC">
        <w:rPr>
          <w:rFonts w:ascii="Times New Roman" w:hAnsi="Times New Roman"/>
          <w:b/>
          <w:sz w:val="24"/>
          <w:szCs w:val="24"/>
        </w:rPr>
        <w:t xml:space="preserve">Crescimento, perfil metabólico e citoquímica de calos de </w:t>
      </w:r>
      <w:r w:rsidR="00A413D5" w:rsidRPr="002B40FC">
        <w:rPr>
          <w:rFonts w:ascii="Times New Roman" w:hAnsi="Times New Roman"/>
          <w:b/>
          <w:i/>
          <w:sz w:val="24"/>
          <w:szCs w:val="24"/>
        </w:rPr>
        <w:t xml:space="preserve">Cedrela </w:t>
      </w:r>
      <w:r w:rsidRPr="002B40FC">
        <w:rPr>
          <w:rFonts w:ascii="Times New Roman" w:hAnsi="Times New Roman"/>
          <w:b/>
          <w:i/>
          <w:sz w:val="24"/>
          <w:szCs w:val="24"/>
        </w:rPr>
        <w:t>fissilis</w:t>
      </w:r>
      <w:r w:rsidR="00A413D5" w:rsidRPr="002B40FC">
        <w:rPr>
          <w:rFonts w:ascii="Times New Roman" w:hAnsi="Times New Roman"/>
          <w:b/>
          <w:sz w:val="24"/>
          <w:szCs w:val="24"/>
        </w:rPr>
        <w:t xml:space="preserve"> </w:t>
      </w:r>
      <w:r w:rsidRPr="002B40FC">
        <w:rPr>
          <w:rFonts w:ascii="Times New Roman" w:hAnsi="Times New Roman"/>
          <w:b/>
          <w:sz w:val="24"/>
          <w:szCs w:val="24"/>
        </w:rPr>
        <w:t>vellozo (Meliaceae)</w:t>
      </w:r>
      <w:r w:rsidRPr="002B40FC">
        <w:rPr>
          <w:rFonts w:ascii="Times New Roman" w:hAnsi="Times New Roman"/>
          <w:sz w:val="24"/>
          <w:szCs w:val="24"/>
        </w:rPr>
        <w:t>.  2011. 116f. Dissertação (Mestrado em Biotecnologia e Biociências) - Universidade Federal de Santa Catarina. Florianópolis, 2011.</w:t>
      </w:r>
    </w:p>
    <w:p w:rsidR="00FD2A74" w:rsidRPr="002B40FC" w:rsidRDefault="00D6414F" w:rsidP="00460133">
      <w:pPr>
        <w:spacing w:line="360" w:lineRule="auto"/>
        <w:jc w:val="both"/>
        <w:rPr>
          <w:rFonts w:ascii="Times New Roman" w:hAnsi="Times New Roman"/>
          <w:sz w:val="24"/>
          <w:szCs w:val="24"/>
        </w:rPr>
      </w:pPr>
      <w:r w:rsidRPr="002B40FC">
        <w:rPr>
          <w:rFonts w:ascii="Times New Roman" w:eastAsia="Arial" w:hAnsi="Times New Roman"/>
          <w:sz w:val="24"/>
          <w:szCs w:val="24"/>
        </w:rPr>
        <w:t xml:space="preserve">PINTO, A. M. </w:t>
      </w:r>
      <w:r w:rsidRPr="002B40FC">
        <w:rPr>
          <w:rFonts w:ascii="Times New Roman" w:hAnsi="Times New Roman"/>
          <w:b/>
          <w:sz w:val="24"/>
          <w:szCs w:val="24"/>
        </w:rPr>
        <w:t xml:space="preserve">Conservação e vigor de sementes de pau-de-balsa </w:t>
      </w:r>
      <w:r w:rsidRPr="002B40FC">
        <w:rPr>
          <w:rFonts w:ascii="Times New Roman" w:hAnsi="Times New Roman"/>
          <w:b/>
          <w:i/>
          <w:sz w:val="24"/>
          <w:szCs w:val="24"/>
        </w:rPr>
        <w:t>Ochroma pyramidale</w:t>
      </w:r>
      <w:r w:rsidRPr="002B40FC">
        <w:rPr>
          <w:rFonts w:ascii="Times New Roman" w:hAnsi="Times New Roman"/>
          <w:b/>
          <w:sz w:val="24"/>
          <w:szCs w:val="24"/>
        </w:rPr>
        <w:t xml:space="preserve"> (Cav. ex Lam.) Urban.</w:t>
      </w:r>
      <w:r w:rsidRPr="002B40FC">
        <w:rPr>
          <w:rFonts w:ascii="Times New Roman" w:hAnsi="Times New Roman"/>
          <w:sz w:val="24"/>
          <w:szCs w:val="24"/>
        </w:rPr>
        <w:t xml:space="preserve"> 1998. 71f. Dissertação (Mestrado em Engenharia Florestal) - Universidade Federal do Paraná. Curitiba, 1998.</w:t>
      </w:r>
    </w:p>
    <w:p w:rsidR="00653AB9" w:rsidRPr="002B40FC" w:rsidRDefault="00653AB9" w:rsidP="00460133">
      <w:pPr>
        <w:spacing w:line="360" w:lineRule="auto"/>
        <w:jc w:val="both"/>
        <w:rPr>
          <w:rFonts w:ascii="Times New Roman" w:eastAsia="Arial" w:hAnsi="Times New Roman"/>
          <w:sz w:val="24"/>
          <w:szCs w:val="24"/>
        </w:rPr>
      </w:pPr>
      <w:r w:rsidRPr="002B40FC">
        <w:rPr>
          <w:rFonts w:ascii="Times New Roman" w:eastAsia="Arial" w:hAnsi="Times New Roman"/>
          <w:sz w:val="24"/>
          <w:szCs w:val="24"/>
          <w:shd w:val="clear" w:color="auto" w:fill="FFFFFF"/>
        </w:rPr>
        <w:t xml:space="preserve">REIS, C. A. F.; FILHO, E. P. Estado da arte de plantios com espécies florestais de interesse para o Mato Grosso. Colombo, PR: </w:t>
      </w:r>
      <w:r w:rsidRPr="002B40FC">
        <w:rPr>
          <w:rFonts w:ascii="Times New Roman" w:eastAsia="Arial" w:hAnsi="Times New Roman"/>
          <w:b/>
          <w:sz w:val="24"/>
          <w:szCs w:val="24"/>
          <w:shd w:val="clear" w:color="auto" w:fill="FFFFFF"/>
        </w:rPr>
        <w:t>Embrapa Florestas</w:t>
      </w:r>
      <w:r w:rsidRPr="002B40FC">
        <w:rPr>
          <w:rFonts w:ascii="Times New Roman" w:eastAsia="Arial" w:hAnsi="Times New Roman"/>
          <w:sz w:val="24"/>
          <w:szCs w:val="24"/>
          <w:shd w:val="clear" w:color="auto" w:fill="FFFFFF"/>
        </w:rPr>
        <w:t>. v. 0, n.</w:t>
      </w:r>
      <w:r w:rsidR="008E26FB">
        <w:rPr>
          <w:rFonts w:ascii="Times New Roman" w:eastAsia="Arial" w:hAnsi="Times New Roman"/>
          <w:sz w:val="24"/>
          <w:szCs w:val="24"/>
          <w:shd w:val="clear" w:color="auto" w:fill="FFFFFF"/>
        </w:rPr>
        <w:t xml:space="preserve"> </w:t>
      </w:r>
      <w:r w:rsidRPr="002B40FC">
        <w:rPr>
          <w:rFonts w:ascii="Times New Roman" w:eastAsia="Arial" w:hAnsi="Times New Roman"/>
          <w:sz w:val="24"/>
          <w:szCs w:val="24"/>
          <w:shd w:val="clear" w:color="auto" w:fill="FFFFFF"/>
        </w:rPr>
        <w:t>1, 39-45 p. 2011</w:t>
      </w:r>
    </w:p>
    <w:p w:rsidR="00653AB9" w:rsidRPr="00653AB9" w:rsidRDefault="00653AB9" w:rsidP="00460133">
      <w:pPr>
        <w:spacing w:line="360" w:lineRule="auto"/>
        <w:jc w:val="both"/>
        <w:rPr>
          <w:rFonts w:ascii="Times New Roman" w:eastAsia="Arial" w:hAnsi="Times New Roman"/>
          <w:sz w:val="24"/>
          <w:szCs w:val="24"/>
        </w:rPr>
      </w:pPr>
      <w:r w:rsidRPr="002B40FC">
        <w:rPr>
          <w:rFonts w:ascii="Times New Roman" w:eastAsia="Arial" w:hAnsi="Times New Roman"/>
          <w:sz w:val="24"/>
          <w:szCs w:val="24"/>
        </w:rPr>
        <w:t xml:space="preserve">REIS, E, S.; PINTO, J. E. B.; ROSADO, L. D. S.; CORRÊA, R. M. Influência do meio de cultura na germinação de sementes </w:t>
      </w:r>
      <w:r w:rsidRPr="002B40FC">
        <w:rPr>
          <w:rFonts w:ascii="Times New Roman" w:eastAsia="Arial" w:hAnsi="Times New Roman"/>
          <w:i/>
          <w:sz w:val="24"/>
          <w:szCs w:val="24"/>
        </w:rPr>
        <w:t>in vitro</w:t>
      </w:r>
      <w:r w:rsidRPr="002B40FC">
        <w:rPr>
          <w:rFonts w:ascii="Times New Roman" w:eastAsia="Arial" w:hAnsi="Times New Roman"/>
          <w:sz w:val="24"/>
          <w:szCs w:val="24"/>
        </w:rPr>
        <w:t xml:space="preserve"> e taxa de multiplicação de </w:t>
      </w:r>
      <w:r w:rsidRPr="002B40FC">
        <w:rPr>
          <w:rFonts w:ascii="Times New Roman" w:eastAsia="Arial" w:hAnsi="Times New Roman"/>
          <w:i/>
          <w:sz w:val="24"/>
          <w:szCs w:val="24"/>
        </w:rPr>
        <w:t>Melissa officinalis</w:t>
      </w:r>
      <w:r w:rsidRPr="002B40FC">
        <w:rPr>
          <w:rFonts w:ascii="Times New Roman" w:eastAsia="Arial" w:hAnsi="Times New Roman"/>
          <w:sz w:val="24"/>
          <w:szCs w:val="24"/>
        </w:rPr>
        <w:t xml:space="preserve"> L. </w:t>
      </w:r>
      <w:r w:rsidRPr="002B40FC">
        <w:rPr>
          <w:rFonts w:ascii="Times New Roman" w:eastAsia="Arial" w:hAnsi="Times New Roman"/>
          <w:b/>
          <w:sz w:val="24"/>
          <w:szCs w:val="24"/>
        </w:rPr>
        <w:t>Ceres</w:t>
      </w:r>
      <w:r w:rsidRPr="002B40FC">
        <w:rPr>
          <w:rFonts w:ascii="Times New Roman" w:eastAsia="Arial" w:hAnsi="Times New Roman"/>
          <w:sz w:val="24"/>
          <w:szCs w:val="24"/>
        </w:rPr>
        <w:t>, V</w:t>
      </w:r>
      <w:r w:rsidR="008E26FB">
        <w:rPr>
          <w:rFonts w:ascii="Times New Roman" w:eastAsia="Arial" w:hAnsi="Times New Roman"/>
          <w:sz w:val="24"/>
          <w:szCs w:val="24"/>
        </w:rPr>
        <w:t xml:space="preserve">içosa, v. 55, n. 3, p. 160-167, </w:t>
      </w:r>
      <w:r w:rsidRPr="002B40FC">
        <w:rPr>
          <w:rFonts w:ascii="Times New Roman" w:eastAsia="Arial" w:hAnsi="Times New Roman"/>
          <w:sz w:val="24"/>
          <w:szCs w:val="24"/>
        </w:rPr>
        <w:t xml:space="preserve">2015. </w:t>
      </w:r>
    </w:p>
    <w:p w:rsidR="00653AB9" w:rsidRPr="002B40FC" w:rsidRDefault="00653AB9" w:rsidP="00460133">
      <w:pPr>
        <w:spacing w:line="360" w:lineRule="auto"/>
        <w:jc w:val="both"/>
        <w:rPr>
          <w:rFonts w:ascii="Times New Roman" w:eastAsia="Arial" w:hAnsi="Times New Roman"/>
          <w:sz w:val="24"/>
          <w:szCs w:val="24"/>
          <w:shd w:val="clear" w:color="auto" w:fill="FFFFFF"/>
        </w:rPr>
      </w:pPr>
      <w:r w:rsidRPr="002B40FC">
        <w:rPr>
          <w:rFonts w:ascii="Times New Roman" w:eastAsia="Arial" w:hAnsi="Times New Roman"/>
          <w:sz w:val="24"/>
          <w:szCs w:val="24"/>
          <w:shd w:val="clear" w:color="auto" w:fill="FFFFFF"/>
        </w:rPr>
        <w:t xml:space="preserve">RIBEIRO, J. M.; TEIXEIRA, S. L.; BASTOS, D. C. Calogênese em explantes de </w:t>
      </w:r>
      <w:r w:rsidRPr="002B40FC">
        <w:rPr>
          <w:rFonts w:ascii="Times New Roman" w:eastAsia="Arial" w:hAnsi="Times New Roman"/>
          <w:i/>
          <w:sz w:val="24"/>
          <w:szCs w:val="24"/>
          <w:shd w:val="clear" w:color="auto" w:fill="FFFFFF"/>
        </w:rPr>
        <w:t>Pfaffia glomerata</w:t>
      </w:r>
      <w:r w:rsidRPr="002B40FC">
        <w:rPr>
          <w:rFonts w:ascii="Times New Roman" w:eastAsia="Arial" w:hAnsi="Times New Roman"/>
          <w:sz w:val="24"/>
          <w:szCs w:val="24"/>
          <w:shd w:val="clear" w:color="auto" w:fill="FFFFFF"/>
        </w:rPr>
        <w:t xml:space="preserve"> (Spreng.) Pedersen cultivados em meio nutritivo esterilizado com hipoclorito de sódio. </w:t>
      </w:r>
      <w:r w:rsidRPr="002B40FC">
        <w:rPr>
          <w:rFonts w:ascii="Times New Roman" w:eastAsia="Arial" w:hAnsi="Times New Roman"/>
          <w:b/>
          <w:sz w:val="24"/>
          <w:szCs w:val="24"/>
          <w:shd w:val="clear" w:color="auto" w:fill="FFFFFF"/>
        </w:rPr>
        <w:t>Ceres</w:t>
      </w:r>
      <w:r w:rsidRPr="002B40FC">
        <w:rPr>
          <w:rFonts w:ascii="Times New Roman" w:eastAsia="Arial" w:hAnsi="Times New Roman"/>
          <w:sz w:val="24"/>
          <w:szCs w:val="24"/>
          <w:shd w:val="clear" w:color="auto" w:fill="FFFFFF"/>
        </w:rPr>
        <w:t>, Viçosa, v. 56, n. 5, p. 537-541, 2015.</w:t>
      </w:r>
    </w:p>
    <w:p w:rsidR="00D6414F" w:rsidRPr="002B40FC" w:rsidRDefault="00FD2A74" w:rsidP="00460133">
      <w:pPr>
        <w:spacing w:line="360" w:lineRule="auto"/>
        <w:jc w:val="both"/>
        <w:rPr>
          <w:rFonts w:ascii="Times New Roman" w:eastAsia="Arial" w:hAnsi="Times New Roman"/>
          <w:sz w:val="24"/>
          <w:szCs w:val="24"/>
        </w:rPr>
      </w:pPr>
      <w:r w:rsidRPr="002B40FC">
        <w:rPr>
          <w:rFonts w:ascii="Times New Roman" w:eastAsia="Arial" w:hAnsi="Times New Roman"/>
          <w:sz w:val="24"/>
          <w:szCs w:val="24"/>
        </w:rPr>
        <w:t xml:space="preserve">RIZZINI, C. T. </w:t>
      </w:r>
      <w:r w:rsidRPr="00653AB9">
        <w:rPr>
          <w:rFonts w:ascii="Times New Roman" w:eastAsia="Arial" w:hAnsi="Times New Roman"/>
          <w:b/>
          <w:sz w:val="24"/>
          <w:szCs w:val="24"/>
        </w:rPr>
        <w:t>Árvores e madeiras úteis do Brasil, manual de dendrologia brasileira</w:t>
      </w:r>
      <w:r w:rsidRPr="002B40FC">
        <w:rPr>
          <w:rFonts w:ascii="Times New Roman" w:eastAsia="Arial" w:hAnsi="Times New Roman"/>
          <w:sz w:val="24"/>
          <w:szCs w:val="24"/>
        </w:rPr>
        <w:t xml:space="preserve">. São Paulo, </w:t>
      </w:r>
      <w:r w:rsidR="00653AB9">
        <w:rPr>
          <w:rFonts w:ascii="Times New Roman" w:eastAsia="Arial" w:hAnsi="Times New Roman"/>
          <w:sz w:val="24"/>
          <w:szCs w:val="24"/>
        </w:rPr>
        <w:t xml:space="preserve">Editora </w:t>
      </w:r>
      <w:r w:rsidRPr="002B40FC">
        <w:rPr>
          <w:rFonts w:ascii="Times New Roman" w:eastAsia="Arial" w:hAnsi="Times New Roman"/>
          <w:sz w:val="24"/>
          <w:szCs w:val="24"/>
        </w:rPr>
        <w:t>Blücher. 1978. 296p.</w:t>
      </w:r>
    </w:p>
    <w:p w:rsidR="00D6414F" w:rsidRPr="00653AB9" w:rsidRDefault="00D6414F" w:rsidP="00460133">
      <w:pPr>
        <w:spacing w:line="360" w:lineRule="auto"/>
        <w:jc w:val="both"/>
        <w:rPr>
          <w:rFonts w:ascii="Times New Roman" w:eastAsia="Arial" w:hAnsi="Times New Roman"/>
          <w:sz w:val="24"/>
          <w:szCs w:val="24"/>
          <w:shd w:val="clear" w:color="auto" w:fill="FFFFFF"/>
        </w:rPr>
      </w:pPr>
      <w:r w:rsidRPr="002B40FC">
        <w:rPr>
          <w:rFonts w:ascii="Times New Roman" w:eastAsia="Arial" w:hAnsi="Times New Roman"/>
          <w:sz w:val="24"/>
          <w:szCs w:val="24"/>
        </w:rPr>
        <w:t xml:space="preserve">RODRIGUES, I. C. S. </w:t>
      </w:r>
      <w:r w:rsidRPr="002B40FC">
        <w:rPr>
          <w:rFonts w:ascii="Times New Roman" w:eastAsia="Arial" w:hAnsi="Times New Roman"/>
          <w:b/>
          <w:sz w:val="24"/>
          <w:szCs w:val="24"/>
        </w:rPr>
        <w:t xml:space="preserve">Micropropagação, Tolerância à Salinidade e Análise de Betacianina em Plantas de </w:t>
      </w:r>
      <w:r w:rsidRPr="002B40FC">
        <w:rPr>
          <w:rFonts w:ascii="Times New Roman" w:eastAsia="Arial" w:hAnsi="Times New Roman"/>
          <w:b/>
          <w:i/>
          <w:sz w:val="24"/>
          <w:szCs w:val="24"/>
        </w:rPr>
        <w:t>Alternanthera Brasiliana</w:t>
      </w:r>
      <w:r w:rsidRPr="002B40FC">
        <w:rPr>
          <w:rFonts w:ascii="Times New Roman" w:eastAsia="Arial" w:hAnsi="Times New Roman"/>
          <w:b/>
          <w:sz w:val="24"/>
          <w:szCs w:val="24"/>
        </w:rPr>
        <w:t xml:space="preserve"> (l.) Kuntze, Cultivadas </w:t>
      </w:r>
      <w:r w:rsidRPr="002B40FC">
        <w:rPr>
          <w:rFonts w:ascii="Times New Roman" w:eastAsia="Arial" w:hAnsi="Times New Roman"/>
          <w:b/>
          <w:i/>
          <w:sz w:val="24"/>
          <w:szCs w:val="24"/>
        </w:rPr>
        <w:t>in vitro</w:t>
      </w:r>
      <w:r w:rsidRPr="002B40FC">
        <w:rPr>
          <w:rFonts w:ascii="Times New Roman" w:eastAsia="Arial" w:hAnsi="Times New Roman"/>
          <w:sz w:val="24"/>
          <w:szCs w:val="24"/>
        </w:rPr>
        <w:t>. 2010 45f. Monografia (</w:t>
      </w:r>
      <w:r w:rsidRPr="002B40FC">
        <w:rPr>
          <w:rFonts w:ascii="Times New Roman" w:hAnsi="Times New Roman"/>
          <w:sz w:val="24"/>
          <w:szCs w:val="24"/>
        </w:rPr>
        <w:t xml:space="preserve">Graduação em Ciências Biológicas), </w:t>
      </w:r>
      <w:r w:rsidRPr="002B40FC">
        <w:rPr>
          <w:rFonts w:ascii="Times New Roman" w:eastAsia="Arial" w:hAnsi="Times New Roman"/>
          <w:sz w:val="24"/>
          <w:szCs w:val="24"/>
        </w:rPr>
        <w:t>Universidade Federal de Pelotas, Pelotas, 2010.</w:t>
      </w:r>
    </w:p>
    <w:p w:rsidR="00D6414F" w:rsidRPr="00653AB9" w:rsidRDefault="00D6414F" w:rsidP="00460133">
      <w:pPr>
        <w:spacing w:line="360" w:lineRule="auto"/>
        <w:jc w:val="both"/>
        <w:rPr>
          <w:rFonts w:ascii="Times New Roman" w:eastAsia="Arial" w:hAnsi="Times New Roman"/>
          <w:sz w:val="24"/>
          <w:szCs w:val="24"/>
        </w:rPr>
      </w:pPr>
      <w:r w:rsidRPr="002B40FC">
        <w:rPr>
          <w:rFonts w:ascii="Times New Roman" w:eastAsia="Arial" w:hAnsi="Times New Roman"/>
          <w:sz w:val="24"/>
          <w:szCs w:val="24"/>
        </w:rPr>
        <w:lastRenderedPageBreak/>
        <w:t xml:space="preserve">SABOGAL, C.; ALMEIDA, E.; MARMILLOD, D.; CARVALHO, J. O. P. </w:t>
      </w:r>
      <w:r w:rsidRPr="002B40FC">
        <w:rPr>
          <w:rFonts w:ascii="Times New Roman" w:eastAsia="Arial" w:hAnsi="Times New Roman"/>
          <w:b/>
          <w:sz w:val="24"/>
          <w:szCs w:val="24"/>
        </w:rPr>
        <w:t>Silvicultura na Amazônia Brasileira: Avaliação de experiências e recomendações para implementação e melhoria dos sistemas.</w:t>
      </w:r>
      <w:r w:rsidRPr="002B40FC">
        <w:rPr>
          <w:rFonts w:ascii="Times New Roman" w:eastAsia="Arial" w:hAnsi="Times New Roman"/>
          <w:sz w:val="24"/>
          <w:szCs w:val="24"/>
        </w:rPr>
        <w:t xml:space="preserve"> Belém: CIFOR, 2006. 192 p.</w:t>
      </w:r>
    </w:p>
    <w:p w:rsidR="00D6414F" w:rsidRPr="00653AB9" w:rsidRDefault="00D6414F" w:rsidP="00460133">
      <w:pPr>
        <w:spacing w:line="360" w:lineRule="auto"/>
        <w:jc w:val="both"/>
        <w:rPr>
          <w:rFonts w:ascii="Times New Roman" w:eastAsia="Arial" w:hAnsi="Times New Roman"/>
          <w:sz w:val="24"/>
          <w:szCs w:val="24"/>
          <w:shd w:val="clear" w:color="auto" w:fill="FFFFFF"/>
        </w:rPr>
      </w:pPr>
      <w:r w:rsidRPr="002B40FC">
        <w:rPr>
          <w:rFonts w:ascii="Times New Roman" w:eastAsia="Arial" w:hAnsi="Times New Roman"/>
          <w:sz w:val="24"/>
          <w:szCs w:val="24"/>
          <w:shd w:val="clear" w:color="auto" w:fill="FFFFFF"/>
        </w:rPr>
        <w:t>SANTOS, U. F.; XIMENES, F. S.; LUZ, P. B.; JÚNIOR, S. S.; SOBRINHO, S. P. Níveis de sombreamento na produção de mudas de pau-de-balsa (</w:t>
      </w:r>
      <w:r w:rsidRPr="002B40FC">
        <w:rPr>
          <w:rFonts w:ascii="Times New Roman" w:eastAsia="Arial" w:hAnsi="Times New Roman"/>
          <w:i/>
          <w:sz w:val="24"/>
          <w:szCs w:val="24"/>
          <w:shd w:val="clear" w:color="auto" w:fill="FFFFFF"/>
        </w:rPr>
        <w:t>Ochroma pyramidale</w:t>
      </w:r>
      <w:r w:rsidRPr="002B40FC">
        <w:rPr>
          <w:rFonts w:ascii="Times New Roman" w:eastAsia="Arial" w:hAnsi="Times New Roman"/>
          <w:sz w:val="24"/>
          <w:szCs w:val="24"/>
          <w:shd w:val="clear" w:color="auto" w:fill="FFFFFF"/>
        </w:rPr>
        <w:t xml:space="preserve">). </w:t>
      </w:r>
      <w:r w:rsidRPr="002B40FC">
        <w:rPr>
          <w:rFonts w:ascii="Times New Roman" w:eastAsia="Arial" w:hAnsi="Times New Roman"/>
          <w:b/>
          <w:sz w:val="24"/>
          <w:szCs w:val="24"/>
          <w:shd w:val="clear" w:color="auto" w:fill="FFFFFF"/>
        </w:rPr>
        <w:t>Bioscience Journal</w:t>
      </w:r>
      <w:r w:rsidRPr="002B40FC">
        <w:rPr>
          <w:rFonts w:ascii="Times New Roman" w:eastAsia="Arial" w:hAnsi="Times New Roman"/>
          <w:sz w:val="24"/>
          <w:szCs w:val="24"/>
          <w:shd w:val="clear" w:color="auto" w:fill="FFFFFF"/>
        </w:rPr>
        <w:t>, v. 30, n. 1, p. 129-136, 2014.</w:t>
      </w:r>
    </w:p>
    <w:p w:rsidR="00D6414F" w:rsidRPr="002B40FC" w:rsidRDefault="00D6414F" w:rsidP="00460133">
      <w:pPr>
        <w:spacing w:line="360" w:lineRule="auto"/>
        <w:jc w:val="both"/>
        <w:rPr>
          <w:rFonts w:ascii="Times New Roman" w:hAnsi="Times New Roman"/>
          <w:sz w:val="24"/>
          <w:szCs w:val="24"/>
        </w:rPr>
      </w:pPr>
      <w:r w:rsidRPr="002B40FC">
        <w:rPr>
          <w:rFonts w:ascii="Times New Roman" w:hAnsi="Times New Roman"/>
          <w:sz w:val="24"/>
          <w:szCs w:val="24"/>
        </w:rPr>
        <w:t>SILVA, F. A. S. ASSISTAT-Ass</w:t>
      </w:r>
      <w:r w:rsidR="00A413D5" w:rsidRPr="002B40FC">
        <w:rPr>
          <w:rFonts w:ascii="Times New Roman" w:hAnsi="Times New Roman"/>
          <w:sz w:val="24"/>
          <w:szCs w:val="24"/>
        </w:rPr>
        <w:t>istência Estatística-versão 7.7</w:t>
      </w:r>
      <w:r w:rsidRPr="002B40FC">
        <w:rPr>
          <w:rFonts w:ascii="Times New Roman" w:hAnsi="Times New Roman"/>
          <w:sz w:val="24"/>
          <w:szCs w:val="24"/>
        </w:rPr>
        <w:t xml:space="preserve">beta (pt). Programa computacional. </w:t>
      </w:r>
      <w:r w:rsidRPr="002B40FC">
        <w:rPr>
          <w:rFonts w:ascii="Times New Roman" w:hAnsi="Times New Roman"/>
          <w:b/>
          <w:sz w:val="24"/>
          <w:szCs w:val="24"/>
        </w:rPr>
        <w:t>Universidade Federal de Campina Grande Campus de Campina Grande-PB</w:t>
      </w:r>
      <w:r w:rsidRPr="002B40FC">
        <w:rPr>
          <w:rFonts w:ascii="Times New Roman" w:hAnsi="Times New Roman"/>
          <w:sz w:val="24"/>
          <w:szCs w:val="24"/>
        </w:rPr>
        <w:t>–DEAG/CTRN, 2014.</w:t>
      </w:r>
    </w:p>
    <w:p w:rsidR="00D6414F" w:rsidRPr="002B40FC" w:rsidRDefault="00D6414F" w:rsidP="00460133">
      <w:pPr>
        <w:spacing w:line="360" w:lineRule="auto"/>
        <w:jc w:val="both"/>
        <w:rPr>
          <w:rFonts w:ascii="Times New Roman" w:hAnsi="Times New Roman"/>
          <w:color w:val="000000"/>
          <w:sz w:val="24"/>
          <w:szCs w:val="24"/>
          <w:shd w:val="clear" w:color="auto" w:fill="EEEEEE"/>
        </w:rPr>
      </w:pPr>
      <w:r w:rsidRPr="002B40FC">
        <w:rPr>
          <w:rFonts w:ascii="Times New Roman" w:hAnsi="Times New Roman"/>
          <w:sz w:val="24"/>
          <w:szCs w:val="24"/>
        </w:rPr>
        <w:t xml:space="preserve">SILVEIRA, D. G.; SOUZA, F. V. D.; VIDAL, A. M.; LEDO, C. A. S.; SANTANA, J. R. F. Efeito da sacarose e da aeração dos recipientes no enraizamento </w:t>
      </w:r>
      <w:r w:rsidRPr="002B40FC">
        <w:rPr>
          <w:rFonts w:ascii="Times New Roman" w:hAnsi="Times New Roman"/>
          <w:i/>
          <w:sz w:val="24"/>
          <w:szCs w:val="24"/>
        </w:rPr>
        <w:t>in vitro</w:t>
      </w:r>
      <w:r w:rsidRPr="002B40FC">
        <w:rPr>
          <w:rFonts w:ascii="Times New Roman" w:hAnsi="Times New Roman"/>
          <w:sz w:val="24"/>
          <w:szCs w:val="24"/>
        </w:rPr>
        <w:t xml:space="preserve"> de Caroá. In: Embrapa Mandioca e Fruticultura-Artigo em anais de congresso (ALICE). In: CONGRESSO BRASILEIRO DE RECURSOS GENÉTICOS. </w:t>
      </w:r>
      <w:r w:rsidRPr="002B40FC">
        <w:rPr>
          <w:rFonts w:ascii="Times New Roman" w:hAnsi="Times New Roman"/>
          <w:b/>
          <w:sz w:val="24"/>
          <w:szCs w:val="24"/>
        </w:rPr>
        <w:t>Anais</w:t>
      </w:r>
      <w:r w:rsidRPr="002B40FC">
        <w:rPr>
          <w:rFonts w:ascii="Times New Roman" w:hAnsi="Times New Roman"/>
          <w:sz w:val="24"/>
          <w:szCs w:val="24"/>
        </w:rPr>
        <w:t>... Brasília, DF: Sociedade Brasileira de Rec</w:t>
      </w:r>
      <w:r w:rsidR="00142908" w:rsidRPr="002B40FC">
        <w:rPr>
          <w:rFonts w:ascii="Times New Roman" w:hAnsi="Times New Roman"/>
          <w:sz w:val="24"/>
          <w:szCs w:val="24"/>
        </w:rPr>
        <w:t>ursos Genéticos, 2012. 1 CD-ROM.</w:t>
      </w:r>
    </w:p>
    <w:p w:rsidR="006867C5" w:rsidRPr="00653AB9" w:rsidRDefault="00D6414F" w:rsidP="00460133">
      <w:pPr>
        <w:spacing w:line="360" w:lineRule="auto"/>
        <w:jc w:val="both"/>
        <w:rPr>
          <w:rFonts w:ascii="Times New Roman" w:hAnsi="Times New Roman"/>
          <w:sz w:val="24"/>
          <w:szCs w:val="24"/>
        </w:rPr>
      </w:pPr>
      <w:r w:rsidRPr="002B40FC">
        <w:rPr>
          <w:rFonts w:ascii="Times New Roman" w:hAnsi="Times New Roman"/>
          <w:sz w:val="24"/>
          <w:szCs w:val="24"/>
        </w:rPr>
        <w:t>SIMÕES, K. S.; LINO, L. S. M.; SOUZA, A. S.; SILVA, S. O.; LEDO, C. A. S. Enraizamento de inham</w:t>
      </w:r>
      <w:r w:rsidR="00A413D5" w:rsidRPr="002B40FC">
        <w:rPr>
          <w:rFonts w:ascii="Times New Roman" w:hAnsi="Times New Roman"/>
          <w:sz w:val="24"/>
          <w:szCs w:val="24"/>
        </w:rPr>
        <w:t xml:space="preserve">e em meios MS e carvão ativado. </w:t>
      </w:r>
      <w:r w:rsidRPr="002B40FC">
        <w:rPr>
          <w:rFonts w:ascii="Times New Roman" w:hAnsi="Times New Roman"/>
          <w:b/>
          <w:sz w:val="24"/>
          <w:szCs w:val="24"/>
        </w:rPr>
        <w:t>Científica</w:t>
      </w:r>
      <w:r w:rsidRPr="002B40FC">
        <w:rPr>
          <w:rFonts w:ascii="Times New Roman" w:hAnsi="Times New Roman"/>
          <w:sz w:val="24"/>
          <w:szCs w:val="24"/>
        </w:rPr>
        <w:t>, Jaboticabal, v. 42, n. 2, p. 164-169, 2014.</w:t>
      </w:r>
    </w:p>
    <w:p w:rsidR="00D6414F" w:rsidRPr="002B40FC" w:rsidRDefault="00D6414F" w:rsidP="00460133">
      <w:pPr>
        <w:spacing w:line="360" w:lineRule="auto"/>
        <w:jc w:val="both"/>
        <w:rPr>
          <w:rFonts w:ascii="Times New Roman" w:eastAsia="Arial" w:hAnsi="Times New Roman"/>
          <w:b/>
          <w:sz w:val="24"/>
          <w:szCs w:val="24"/>
          <w:vertAlign w:val="subscript"/>
        </w:rPr>
      </w:pPr>
      <w:r w:rsidRPr="002B40FC">
        <w:rPr>
          <w:rFonts w:ascii="Times New Roman" w:eastAsia="Arial" w:hAnsi="Times New Roman"/>
          <w:sz w:val="24"/>
          <w:szCs w:val="24"/>
          <w:shd w:val="clear" w:color="auto" w:fill="FFFFFF"/>
        </w:rPr>
        <w:t xml:space="preserve">SORACE, M.; FARIA, R. T.; JUNIOR, C. V. D.; GOMES, G. P. G.; BARBOSA, C. M.; VIEIRA, F. G. N.; SILVA, G. L. S. DA.; TAKAHASHI, L. S. A.; SCHNITZER, J. A. Crescimento </w:t>
      </w:r>
      <w:r w:rsidRPr="002B40FC">
        <w:rPr>
          <w:rFonts w:ascii="Times New Roman" w:eastAsia="Arial" w:hAnsi="Times New Roman"/>
          <w:i/>
          <w:sz w:val="24"/>
          <w:szCs w:val="24"/>
          <w:shd w:val="clear" w:color="auto" w:fill="FFFFFF"/>
        </w:rPr>
        <w:t>in vitro</w:t>
      </w:r>
      <w:r w:rsidRPr="002B40FC">
        <w:rPr>
          <w:rFonts w:ascii="Times New Roman" w:eastAsia="Arial" w:hAnsi="Times New Roman"/>
          <w:sz w:val="24"/>
          <w:szCs w:val="24"/>
          <w:shd w:val="clear" w:color="auto" w:fill="FFFFFF"/>
        </w:rPr>
        <w:t xml:space="preserve"> de </w:t>
      </w:r>
      <w:r w:rsidRPr="002B40FC">
        <w:rPr>
          <w:rFonts w:ascii="Times New Roman" w:eastAsia="Arial" w:hAnsi="Times New Roman"/>
          <w:i/>
          <w:sz w:val="24"/>
          <w:szCs w:val="24"/>
          <w:shd w:val="clear" w:color="auto" w:fill="FFFFFF"/>
        </w:rPr>
        <w:t>Oncidium baueri</w:t>
      </w:r>
      <w:r w:rsidRPr="002B40FC">
        <w:rPr>
          <w:rFonts w:ascii="Times New Roman" w:eastAsia="Arial" w:hAnsi="Times New Roman"/>
          <w:sz w:val="24"/>
          <w:szCs w:val="24"/>
          <w:shd w:val="clear" w:color="auto" w:fill="FFFFFF"/>
        </w:rPr>
        <w:t xml:space="preserve"> (Orchidaceae) em diferentes concentrações de macronutrientes e sacarose. </w:t>
      </w:r>
      <w:r w:rsidRPr="002B40FC">
        <w:rPr>
          <w:rFonts w:ascii="Times New Roman" w:eastAsia="Arial" w:hAnsi="Times New Roman"/>
          <w:b/>
          <w:sz w:val="24"/>
          <w:szCs w:val="24"/>
          <w:shd w:val="clear" w:color="auto" w:fill="FFFFFF"/>
        </w:rPr>
        <w:t>Semina: Ciências Agrárias</w:t>
      </w:r>
      <w:r w:rsidRPr="002B40FC">
        <w:rPr>
          <w:rFonts w:ascii="Times New Roman" w:eastAsia="Arial" w:hAnsi="Times New Roman"/>
          <w:sz w:val="24"/>
          <w:szCs w:val="24"/>
          <w:shd w:val="clear" w:color="auto" w:fill="FFFFFF"/>
        </w:rPr>
        <w:t>, Londrina</w:t>
      </w:r>
      <w:r w:rsidR="000B488D" w:rsidRPr="002B40FC">
        <w:rPr>
          <w:rFonts w:ascii="Times New Roman" w:eastAsia="Arial" w:hAnsi="Times New Roman"/>
          <w:sz w:val="24"/>
          <w:szCs w:val="24"/>
          <w:shd w:val="clear" w:color="auto" w:fill="FFFFFF"/>
        </w:rPr>
        <w:t>, v. 29, n. 4, p. 775-782, 2008.</w:t>
      </w:r>
    </w:p>
    <w:sectPr w:rsidR="00D6414F" w:rsidRPr="002B40FC" w:rsidSect="000B488D">
      <w:type w:val="continuous"/>
      <w:pgSz w:w="11906" w:h="16838"/>
      <w:pgMar w:top="1418" w:right="1418" w:bottom="1418" w:left="1418" w:header="708" w:footer="708" w:gutter="0"/>
      <w:lnNumType w:countBy="1" w:restart="continuous"/>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1E95" w:rsidRDefault="00AD1E95" w:rsidP="00DC3105">
      <w:pPr>
        <w:spacing w:after="0" w:line="240" w:lineRule="auto"/>
      </w:pPr>
      <w:r>
        <w:separator/>
      </w:r>
    </w:p>
  </w:endnote>
  <w:endnote w:type="continuationSeparator" w:id="0">
    <w:p w:rsidR="00AD1E95" w:rsidRDefault="00AD1E95" w:rsidP="00DC3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6110368"/>
      <w:docPartObj>
        <w:docPartGallery w:val="Page Numbers (Bottom of Page)"/>
        <w:docPartUnique/>
      </w:docPartObj>
    </w:sdtPr>
    <w:sdtEndPr/>
    <w:sdtContent>
      <w:p w:rsidR="00F12F02" w:rsidRPr="00553746" w:rsidRDefault="00F12F02" w:rsidP="00553746">
        <w:pPr>
          <w:pStyle w:val="Rodap"/>
          <w:jc w:val="right"/>
        </w:pPr>
        <w:r w:rsidRPr="00252751">
          <w:rPr>
            <w:rFonts w:ascii="Times New Roman" w:hAnsi="Times New Roman"/>
          </w:rPr>
          <w:fldChar w:fldCharType="begin"/>
        </w:r>
        <w:r w:rsidRPr="00252751">
          <w:rPr>
            <w:rFonts w:ascii="Times New Roman" w:hAnsi="Times New Roman"/>
          </w:rPr>
          <w:instrText>PAGE   \* MERGEFORMAT</w:instrText>
        </w:r>
        <w:r w:rsidRPr="00252751">
          <w:rPr>
            <w:rFonts w:ascii="Times New Roman" w:hAnsi="Times New Roman"/>
          </w:rPr>
          <w:fldChar w:fldCharType="separate"/>
        </w:r>
        <w:r w:rsidR="00F149BD" w:rsidRPr="00F149BD">
          <w:rPr>
            <w:rFonts w:ascii="Times New Roman" w:hAnsi="Times New Roman"/>
            <w:noProof/>
            <w:lang w:val="pt-BR"/>
          </w:rPr>
          <w:t>9</w:t>
        </w:r>
        <w:r w:rsidRPr="00252751">
          <w:rPr>
            <w:rFonts w:ascii="Times New Roman" w:hAnsi="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1E95" w:rsidRDefault="00AD1E95" w:rsidP="00DC3105">
      <w:pPr>
        <w:spacing w:after="0" w:line="240" w:lineRule="auto"/>
      </w:pPr>
      <w:r>
        <w:separator/>
      </w:r>
    </w:p>
  </w:footnote>
  <w:footnote w:type="continuationSeparator" w:id="0">
    <w:p w:rsidR="00AD1E95" w:rsidRDefault="00AD1E95" w:rsidP="00DC31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5204488"/>
      <w:docPartObj>
        <w:docPartGallery w:val="Page Numbers (Top of Page)"/>
        <w:docPartUnique/>
      </w:docPartObj>
    </w:sdtPr>
    <w:sdtEndPr/>
    <w:sdtContent>
      <w:p w:rsidR="00F12F02" w:rsidRDefault="00AD1E95">
        <w:pPr>
          <w:pStyle w:val="Cabealho"/>
          <w:jc w:val="right"/>
        </w:pPr>
      </w:p>
    </w:sdtContent>
  </w:sdt>
  <w:p w:rsidR="00F12F02" w:rsidRDefault="00F12F02">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8A5BA5"/>
    <w:multiLevelType w:val="hybridMultilevel"/>
    <w:tmpl w:val="34A875D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DF7"/>
    <w:rsid w:val="00036A25"/>
    <w:rsid w:val="000630E8"/>
    <w:rsid w:val="0007095E"/>
    <w:rsid w:val="000B488D"/>
    <w:rsid w:val="00111E4B"/>
    <w:rsid w:val="00117A94"/>
    <w:rsid w:val="001349CA"/>
    <w:rsid w:val="00142908"/>
    <w:rsid w:val="0019202F"/>
    <w:rsid w:val="001C0E7D"/>
    <w:rsid w:val="001D48B3"/>
    <w:rsid w:val="00215E84"/>
    <w:rsid w:val="0021773B"/>
    <w:rsid w:val="00242DA2"/>
    <w:rsid w:val="0024369A"/>
    <w:rsid w:val="002517A4"/>
    <w:rsid w:val="00252751"/>
    <w:rsid w:val="00271145"/>
    <w:rsid w:val="002B40FC"/>
    <w:rsid w:val="002C21C4"/>
    <w:rsid w:val="002D2835"/>
    <w:rsid w:val="0038555F"/>
    <w:rsid w:val="003E3E2A"/>
    <w:rsid w:val="003F6D76"/>
    <w:rsid w:val="00430444"/>
    <w:rsid w:val="00460133"/>
    <w:rsid w:val="00470E66"/>
    <w:rsid w:val="0049111F"/>
    <w:rsid w:val="0049528F"/>
    <w:rsid w:val="004B0AA0"/>
    <w:rsid w:val="004B4E66"/>
    <w:rsid w:val="00505CCE"/>
    <w:rsid w:val="005479E6"/>
    <w:rsid w:val="00553746"/>
    <w:rsid w:val="00564FF9"/>
    <w:rsid w:val="00592405"/>
    <w:rsid w:val="00594ECE"/>
    <w:rsid w:val="005E3B0A"/>
    <w:rsid w:val="006108DA"/>
    <w:rsid w:val="006240EE"/>
    <w:rsid w:val="006466AB"/>
    <w:rsid w:val="00653AB9"/>
    <w:rsid w:val="006867C5"/>
    <w:rsid w:val="00716DF7"/>
    <w:rsid w:val="007221DA"/>
    <w:rsid w:val="0078518C"/>
    <w:rsid w:val="00785CB1"/>
    <w:rsid w:val="007A6449"/>
    <w:rsid w:val="00800888"/>
    <w:rsid w:val="00806C84"/>
    <w:rsid w:val="00810ECF"/>
    <w:rsid w:val="008329EC"/>
    <w:rsid w:val="00857659"/>
    <w:rsid w:val="00860C3E"/>
    <w:rsid w:val="00863862"/>
    <w:rsid w:val="00897433"/>
    <w:rsid w:val="008D2806"/>
    <w:rsid w:val="008D58E5"/>
    <w:rsid w:val="008E26FB"/>
    <w:rsid w:val="009511C4"/>
    <w:rsid w:val="00A24DB2"/>
    <w:rsid w:val="00A305F5"/>
    <w:rsid w:val="00A349C7"/>
    <w:rsid w:val="00A413D5"/>
    <w:rsid w:val="00A715B4"/>
    <w:rsid w:val="00A87189"/>
    <w:rsid w:val="00AA3C33"/>
    <w:rsid w:val="00AB1F5D"/>
    <w:rsid w:val="00AB6D33"/>
    <w:rsid w:val="00AD1E95"/>
    <w:rsid w:val="00B35E90"/>
    <w:rsid w:val="00B3624E"/>
    <w:rsid w:val="00B973E4"/>
    <w:rsid w:val="00BA5CA5"/>
    <w:rsid w:val="00BC6C48"/>
    <w:rsid w:val="00BE57F9"/>
    <w:rsid w:val="00C326B3"/>
    <w:rsid w:val="00C34B8D"/>
    <w:rsid w:val="00C5330C"/>
    <w:rsid w:val="00C708E2"/>
    <w:rsid w:val="00C812A1"/>
    <w:rsid w:val="00C93E1C"/>
    <w:rsid w:val="00CB2D28"/>
    <w:rsid w:val="00D07692"/>
    <w:rsid w:val="00D57AEA"/>
    <w:rsid w:val="00D6414F"/>
    <w:rsid w:val="00D821F2"/>
    <w:rsid w:val="00D852FF"/>
    <w:rsid w:val="00DC3105"/>
    <w:rsid w:val="00DD0F2F"/>
    <w:rsid w:val="00DD6542"/>
    <w:rsid w:val="00E56593"/>
    <w:rsid w:val="00EA338A"/>
    <w:rsid w:val="00ED0599"/>
    <w:rsid w:val="00F119B0"/>
    <w:rsid w:val="00F12F02"/>
    <w:rsid w:val="00F149BD"/>
    <w:rsid w:val="00FA7821"/>
    <w:rsid w:val="00FD2A74"/>
    <w:rsid w:val="00FD3645"/>
    <w:rsid w:val="00FF671D"/>
    <w:rsid w:val="00FF72D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DF4E96C-E710-4734-B417-52546AE2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7659"/>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857659"/>
    <w:pPr>
      <w:tabs>
        <w:tab w:val="center" w:pos="4252"/>
        <w:tab w:val="right" w:pos="8504"/>
      </w:tabs>
    </w:pPr>
    <w:rPr>
      <w:lang w:val="x-none"/>
    </w:rPr>
  </w:style>
  <w:style w:type="character" w:customStyle="1" w:styleId="RodapChar">
    <w:name w:val="Rodapé Char"/>
    <w:basedOn w:val="Fontepargpadro"/>
    <w:link w:val="Rodap"/>
    <w:uiPriority w:val="99"/>
    <w:rsid w:val="00857659"/>
    <w:rPr>
      <w:rFonts w:ascii="Calibri" w:eastAsia="Calibri" w:hAnsi="Calibri" w:cs="Times New Roman"/>
      <w:lang w:val="x-none"/>
    </w:rPr>
  </w:style>
  <w:style w:type="character" w:styleId="Hyperlink">
    <w:name w:val="Hyperlink"/>
    <w:basedOn w:val="Fontepargpadro"/>
    <w:uiPriority w:val="99"/>
    <w:unhideWhenUsed/>
    <w:rsid w:val="00DC3105"/>
    <w:rPr>
      <w:color w:val="0563C1" w:themeColor="hyperlink"/>
      <w:u w:val="single"/>
    </w:rPr>
  </w:style>
  <w:style w:type="paragraph" w:styleId="Textodenotaderodap">
    <w:name w:val="footnote text"/>
    <w:basedOn w:val="Normal"/>
    <w:link w:val="TextodenotaderodapChar"/>
    <w:uiPriority w:val="99"/>
    <w:semiHidden/>
    <w:unhideWhenUsed/>
    <w:rsid w:val="00DC3105"/>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DC3105"/>
    <w:rPr>
      <w:rFonts w:ascii="Calibri" w:eastAsia="Calibri" w:hAnsi="Calibri" w:cs="Times New Roman"/>
      <w:sz w:val="20"/>
      <w:szCs w:val="20"/>
    </w:rPr>
  </w:style>
  <w:style w:type="character" w:styleId="Refdenotaderodap">
    <w:name w:val="footnote reference"/>
    <w:basedOn w:val="Fontepargpadro"/>
    <w:uiPriority w:val="99"/>
    <w:semiHidden/>
    <w:unhideWhenUsed/>
    <w:rsid w:val="00DC3105"/>
    <w:rPr>
      <w:vertAlign w:val="superscript"/>
    </w:rPr>
  </w:style>
  <w:style w:type="paragraph" w:styleId="Textodenotadefim">
    <w:name w:val="endnote text"/>
    <w:basedOn w:val="Normal"/>
    <w:link w:val="TextodenotadefimChar"/>
    <w:uiPriority w:val="99"/>
    <w:semiHidden/>
    <w:unhideWhenUsed/>
    <w:rsid w:val="00DC3105"/>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DC3105"/>
    <w:rPr>
      <w:rFonts w:ascii="Calibri" w:eastAsia="Calibri" w:hAnsi="Calibri" w:cs="Times New Roman"/>
      <w:sz w:val="20"/>
      <w:szCs w:val="20"/>
    </w:rPr>
  </w:style>
  <w:style w:type="character" w:styleId="Refdenotadefim">
    <w:name w:val="endnote reference"/>
    <w:basedOn w:val="Fontepargpadro"/>
    <w:uiPriority w:val="99"/>
    <w:semiHidden/>
    <w:unhideWhenUsed/>
    <w:rsid w:val="00DC3105"/>
    <w:rPr>
      <w:vertAlign w:val="superscript"/>
    </w:rPr>
  </w:style>
  <w:style w:type="paragraph" w:styleId="Cabealho">
    <w:name w:val="header"/>
    <w:basedOn w:val="Normal"/>
    <w:link w:val="CabealhoChar"/>
    <w:uiPriority w:val="99"/>
    <w:unhideWhenUsed/>
    <w:rsid w:val="004B4E6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4E66"/>
    <w:rPr>
      <w:rFonts w:ascii="Calibri" w:eastAsia="Calibri" w:hAnsi="Calibri" w:cs="Times New Roman"/>
    </w:rPr>
  </w:style>
  <w:style w:type="character" w:styleId="Nmerodelinha">
    <w:name w:val="line number"/>
    <w:basedOn w:val="Fontepargpadro"/>
    <w:uiPriority w:val="99"/>
    <w:semiHidden/>
    <w:unhideWhenUsed/>
    <w:rsid w:val="005E3B0A"/>
  </w:style>
  <w:style w:type="character" w:styleId="TextodoEspaoReservado">
    <w:name w:val="Placeholder Text"/>
    <w:basedOn w:val="Fontepargpadro"/>
    <w:uiPriority w:val="99"/>
    <w:semiHidden/>
    <w:rsid w:val="004952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2.wdp"/><Relationship Id="rId18" Type="http://schemas.openxmlformats.org/officeDocument/2006/relationships/image" Target="media/image5.png"/><Relationship Id="rId3" Type="http://schemas.openxmlformats.org/officeDocument/2006/relationships/styles" Target="styles.xml"/><Relationship Id="rId21" Type="http://schemas.microsoft.com/office/2007/relationships/hdphoto" Target="media/hdphoto6.wdp"/><Relationship Id="rId7" Type="http://schemas.openxmlformats.org/officeDocument/2006/relationships/endnotes" Target="endnotes.xml"/><Relationship Id="rId12" Type="http://schemas.openxmlformats.org/officeDocument/2006/relationships/image" Target="media/image2.png"/><Relationship Id="rId17" Type="http://schemas.microsoft.com/office/2007/relationships/hdphoto" Target="media/hdphoto4.wdp"/><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07/relationships/hdphoto" Target="media/hdphoto3.wdp"/><Relationship Id="rId23" Type="http://schemas.openxmlformats.org/officeDocument/2006/relationships/fontTable" Target="fontTable.xml"/><Relationship Id="rId10" Type="http://schemas.openxmlformats.org/officeDocument/2006/relationships/header" Target="header1.xml"/><Relationship Id="rId19" Type="http://schemas.microsoft.com/office/2007/relationships/hdphoto" Target="media/hdphoto5.wdp"/><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3.png"/><Relationship Id="rId22" Type="http://schemas.openxmlformats.org/officeDocument/2006/relationships/image" Target="media/image7.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DE468C-873C-4167-86F5-2BD6E57E2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13</Pages>
  <Words>4097</Words>
  <Characters>22129</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Máira Beatriz Teixeira da Costa</dc:creator>
  <cp:keywords/>
  <dc:description/>
  <cp:lastModifiedBy>Máira Beatriz Teixeira da Costa</cp:lastModifiedBy>
  <cp:revision>15</cp:revision>
  <cp:lastPrinted>2016-09-19T03:09:00Z</cp:lastPrinted>
  <dcterms:created xsi:type="dcterms:W3CDTF">2016-09-19T03:09:00Z</dcterms:created>
  <dcterms:modified xsi:type="dcterms:W3CDTF">2016-09-20T01:41:00Z</dcterms:modified>
</cp:coreProperties>
</file>